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E7E6D">
      <w:pPr>
        <w:spacing w:after="468" w:afterLines="150" w:line="400" w:lineRule="exact"/>
        <w:rPr>
          <w:rFonts w:ascii="宋体"/>
          <w:color w:val="000000"/>
          <w:sz w:val="24"/>
          <w:szCs w:val="24"/>
        </w:rPr>
      </w:pPr>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14:paraId="62FB8C6D">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14:paraId="5E20268D">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ascii="宋体" w:hAnsi="宋体" w:cs="宋体"/>
          <w:color w:val="000000"/>
          <w:sz w:val="24"/>
          <w:szCs w:val="24"/>
          <w:highlight w:val="none"/>
        </w:rPr>
        <w:t>20</w:t>
      </w: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50425</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3488"/>
        <w:gridCol w:w="4312"/>
      </w:tblGrid>
      <w:tr w14:paraId="687B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7BA97C80">
            <w:pPr>
              <w:spacing w:line="480" w:lineRule="atLeast"/>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3BF151ED">
            <w:pPr>
              <w:spacing w:line="480" w:lineRule="atLeast"/>
              <w:rPr>
                <w:rFonts w:ascii="宋体"/>
                <w:color w:val="000000"/>
                <w:kern w:val="0"/>
                <w:sz w:val="24"/>
                <w:szCs w:val="24"/>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w:instrText>
            </w:r>
            <w:r>
              <w:rPr>
                <w:rFonts w:hint="eastAsia" w:ascii="宋体" w:hAnsi="宋体" w:cs="宋体"/>
                <w:color w:val="000000"/>
                <w:kern w:val="0"/>
                <w:sz w:val="28"/>
                <w:szCs w:val="28"/>
              </w:rPr>
              <w:instrText xml:space="preserve">eq \o\ac(□,</w:instrText>
            </w:r>
            <w:r>
              <w:rPr>
                <w:rFonts w:hint="eastAsia" w:ascii="宋体" w:hAnsi="宋体" w:cs="宋体"/>
                <w:color w:val="000000"/>
                <w:kern w:val="0"/>
                <w:position w:val="2"/>
                <w:sz w:val="28"/>
                <w:szCs w:val="28"/>
              </w:rPr>
              <w:instrText xml:space="preserve">√</w:instrText>
            </w:r>
            <w:r>
              <w:rPr>
                <w:rFonts w:hint="eastAsia" w:ascii="宋体" w:hAnsi="宋体" w:cs="宋体"/>
                <w:color w:val="000000"/>
                <w:kern w:val="0"/>
                <w:sz w:val="28"/>
                <w:szCs w:val="28"/>
              </w:rPr>
              <w:instrText xml:space="preserve">)</w:instrText>
            </w:r>
            <w:r>
              <w:rPr>
                <w:rFonts w:ascii="宋体" w:hAnsi="宋体" w:cs="宋体"/>
                <w:color w:val="000000"/>
                <w:kern w:val="0"/>
                <w:sz w:val="28"/>
                <w:szCs w:val="28"/>
              </w:rPr>
              <w:fldChar w:fldCharType="end"/>
            </w:r>
            <w:r>
              <w:rPr>
                <w:rFonts w:hint="eastAsia" w:ascii="宋体" w:hAnsi="宋体" w:cs="宋体"/>
                <w:kern w:val="0"/>
                <w:sz w:val="28"/>
                <w:szCs w:val="28"/>
              </w:rPr>
              <w:t>特定对象调研</w:t>
            </w:r>
            <w:r>
              <w:rPr>
                <w:rFonts w:ascii="宋体" w:hAnsi="宋体" w:cs="宋体"/>
                <w:kern w:val="0"/>
                <w:sz w:val="28"/>
                <w:szCs w:val="28"/>
              </w:rPr>
              <w:t xml:space="preserve">        </w:t>
            </w:r>
            <w:r>
              <w:rPr>
                <w:rFonts w:hint="eastAsia" w:ascii="宋体" w:hAnsi="宋体" w:cs="宋体"/>
                <w:color w:val="000000"/>
                <w:kern w:val="0"/>
                <w:sz w:val="24"/>
                <w:szCs w:val="24"/>
                <w:lang w:eastAsia="zh-CN"/>
              </w:rPr>
              <w:t>□</w:t>
            </w:r>
            <w:r>
              <w:rPr>
                <w:rFonts w:hint="eastAsia" w:ascii="宋体" w:hAnsi="宋体" w:cs="宋体"/>
                <w:kern w:val="0"/>
                <w:sz w:val="28"/>
                <w:szCs w:val="28"/>
              </w:rPr>
              <w:t>分析师会议</w:t>
            </w:r>
          </w:p>
          <w:p w14:paraId="4493F8EE">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媒体采访</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业绩说明会</w:t>
            </w:r>
          </w:p>
          <w:p w14:paraId="09C6C633">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新闻发布会</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路演活动</w:t>
            </w:r>
          </w:p>
          <w:p w14:paraId="1A37911B">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现场参观</w:t>
            </w:r>
            <w:r>
              <w:rPr>
                <w:rFonts w:ascii="宋体"/>
                <w:color w:val="000000"/>
                <w:kern w:val="0"/>
                <w:sz w:val="24"/>
                <w:szCs w:val="24"/>
              </w:rPr>
              <w:tab/>
            </w:r>
          </w:p>
          <w:p w14:paraId="5C81E213">
            <w:pPr>
              <w:tabs>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其他</w:t>
            </w:r>
            <w:r>
              <w:rPr>
                <w:rFonts w:ascii="宋体" w:hAnsi="宋体" w:cs="宋体"/>
                <w:kern w:val="0"/>
                <w:sz w:val="28"/>
                <w:szCs w:val="28"/>
              </w:rPr>
              <w:t xml:space="preserve"> </w:t>
            </w:r>
            <w:r>
              <w:rPr>
                <w:rFonts w:hint="eastAsia" w:ascii="宋体" w:hAnsi="宋体" w:cs="宋体"/>
                <w:kern w:val="0"/>
                <w:sz w:val="28"/>
                <w:szCs w:val="28"/>
                <w:u w:val="single"/>
              </w:rPr>
              <w:t xml:space="preserve">          </w:t>
            </w:r>
          </w:p>
        </w:tc>
      </w:tr>
      <w:tr w14:paraId="24E1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3AA1DAEE">
            <w:pPr>
              <w:spacing w:line="48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活动参与人员</w:t>
            </w:r>
          </w:p>
        </w:tc>
        <w:tc>
          <w:tcPr>
            <w:tcW w:w="3488" w:type="dxa"/>
            <w:tcBorders>
              <w:top w:val="single" w:color="auto" w:sz="4" w:space="0"/>
              <w:left w:val="single" w:color="auto" w:sz="4" w:space="0"/>
              <w:bottom w:val="single" w:color="auto" w:sz="4" w:space="0"/>
              <w:right w:val="nil"/>
            </w:tcBorders>
            <w:noWrap w:val="0"/>
            <w:vAlign w:val="top"/>
          </w:tcPr>
          <w:p w14:paraId="563EE65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000000"/>
                <w:spacing w:val="0"/>
                <w:kern w:val="0"/>
                <w:sz w:val="24"/>
                <w:szCs w:val="24"/>
                <w:lang w:val="en-US" w:eastAsia="zh-CN" w:bidi="ar-SA"/>
              </w:rPr>
            </w:pPr>
            <w:r>
              <w:rPr>
                <w:rFonts w:hint="eastAsia" w:ascii="宋体" w:hAnsi="宋体" w:cs="宋体"/>
                <w:color w:val="000000"/>
                <w:spacing w:val="0"/>
                <w:kern w:val="0"/>
                <w:sz w:val="24"/>
                <w:szCs w:val="24"/>
                <w:lang w:val="en-US" w:eastAsia="zh-CN" w:bidi="ar-SA"/>
              </w:rPr>
              <w:t>中金公司：贾雄伟</w:t>
            </w:r>
          </w:p>
          <w:p w14:paraId="16B5110C">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spacing w:val="0"/>
                <w:sz w:val="24"/>
                <w:szCs w:val="24"/>
                <w:lang w:val="en-US" w:eastAsia="zh-CN"/>
              </w:rPr>
            </w:pPr>
            <w:r>
              <w:rPr>
                <w:rFonts w:hint="eastAsia" w:ascii="宋体" w:hAnsi="宋体" w:cs="宋体"/>
                <w:color w:val="000000"/>
                <w:spacing w:val="0"/>
                <w:kern w:val="0"/>
                <w:sz w:val="24"/>
                <w:szCs w:val="24"/>
                <w:lang w:val="en-US" w:eastAsia="zh-CN" w:bidi="ar-SA"/>
              </w:rPr>
              <w:t>中银证券：余塬塬</w:t>
            </w:r>
          </w:p>
          <w:p w14:paraId="40D7B3DC">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cs="宋体"/>
                <w:color w:val="000000"/>
                <w:spacing w:val="0"/>
                <w:kern w:val="0"/>
                <w:sz w:val="24"/>
                <w:szCs w:val="24"/>
                <w:lang w:val="en-US" w:eastAsia="zh-CN" w:bidi="ar-SA"/>
              </w:rPr>
            </w:pPr>
            <w:r>
              <w:rPr>
                <w:rFonts w:hint="eastAsia" w:ascii="宋体" w:hAnsi="宋体" w:cs="宋体"/>
                <w:color w:val="000000"/>
                <w:spacing w:val="0"/>
                <w:kern w:val="0"/>
                <w:sz w:val="24"/>
                <w:szCs w:val="24"/>
                <w:lang w:val="en-US" w:eastAsia="zh-CN" w:bidi="ar-SA"/>
              </w:rPr>
              <w:t>上善若水基金：王蕊</w:t>
            </w:r>
          </w:p>
          <w:p w14:paraId="1D7BC113">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cs="宋体"/>
                <w:color w:val="000000"/>
                <w:spacing w:val="0"/>
                <w:kern w:val="0"/>
                <w:sz w:val="24"/>
                <w:szCs w:val="24"/>
                <w:lang w:val="en-US" w:eastAsia="zh-CN" w:bidi="ar-SA"/>
              </w:rPr>
            </w:pPr>
            <w:r>
              <w:rPr>
                <w:rFonts w:hint="eastAsia" w:ascii="宋体" w:hAnsi="宋体" w:cs="宋体"/>
                <w:color w:val="000000"/>
                <w:spacing w:val="0"/>
                <w:kern w:val="0"/>
                <w:sz w:val="24"/>
                <w:szCs w:val="24"/>
                <w:lang w:val="en-US" w:eastAsia="zh-CN" w:bidi="ar-SA"/>
              </w:rPr>
              <w:t>正圆投资：曹智明</w:t>
            </w:r>
          </w:p>
          <w:p w14:paraId="5C2E1639">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ascii="宋体" w:hAnsi="宋体" w:cs="宋体"/>
                <w:color w:val="000000"/>
                <w:spacing w:val="0"/>
                <w:kern w:val="0"/>
                <w:sz w:val="24"/>
                <w:szCs w:val="24"/>
                <w:lang w:val="en-US" w:eastAsia="zh-CN" w:bidi="ar-SA"/>
              </w:rPr>
            </w:pPr>
            <w:r>
              <w:rPr>
                <w:rFonts w:hint="eastAsia" w:ascii="宋体" w:hAnsi="宋体" w:cs="宋体"/>
                <w:color w:val="000000"/>
                <w:spacing w:val="0"/>
                <w:kern w:val="0"/>
                <w:sz w:val="24"/>
                <w:szCs w:val="24"/>
                <w:lang w:val="en-US" w:eastAsia="zh-CN" w:bidi="ar-SA"/>
              </w:rPr>
              <w:t>浙商证券：汤永俊</w:t>
            </w:r>
          </w:p>
        </w:tc>
        <w:tc>
          <w:tcPr>
            <w:tcW w:w="4312" w:type="dxa"/>
            <w:tcBorders>
              <w:top w:val="single" w:color="auto" w:sz="4" w:space="0"/>
              <w:left w:val="nil"/>
              <w:bottom w:val="single" w:color="auto" w:sz="4" w:space="0"/>
              <w:right w:val="single" w:color="auto" w:sz="4" w:space="0"/>
            </w:tcBorders>
            <w:noWrap w:val="0"/>
            <w:vAlign w:val="top"/>
          </w:tcPr>
          <w:p w14:paraId="2D926E7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cs="宋体"/>
                <w:color w:val="000000"/>
                <w:spacing w:val="0"/>
                <w:kern w:val="0"/>
                <w:sz w:val="24"/>
                <w:szCs w:val="24"/>
                <w:lang w:val="en-US" w:eastAsia="zh-CN" w:bidi="ar-SA"/>
              </w:rPr>
            </w:pPr>
            <w:r>
              <w:rPr>
                <w:rFonts w:hint="eastAsia" w:ascii="宋体" w:hAnsi="宋体" w:cs="宋体"/>
                <w:color w:val="000000"/>
                <w:spacing w:val="0"/>
                <w:kern w:val="0"/>
                <w:sz w:val="24"/>
                <w:szCs w:val="24"/>
                <w:lang w:val="en-US" w:eastAsia="zh-CN" w:bidi="ar-SA"/>
              </w:rPr>
              <w:t>银叶投资：曹擎</w:t>
            </w:r>
          </w:p>
          <w:p w14:paraId="50481555">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spacing w:val="0"/>
                <w:sz w:val="24"/>
                <w:szCs w:val="24"/>
                <w:lang w:val="en-US" w:eastAsia="zh-CN"/>
              </w:rPr>
            </w:pPr>
            <w:r>
              <w:rPr>
                <w:rFonts w:hint="eastAsia"/>
                <w:spacing w:val="0"/>
                <w:sz w:val="24"/>
                <w:szCs w:val="24"/>
                <w:lang w:val="en-US" w:eastAsia="zh-CN"/>
              </w:rPr>
              <w:t>新华资产：陈振华</w:t>
            </w:r>
          </w:p>
          <w:p w14:paraId="686BF934">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spacing w:val="0"/>
                <w:sz w:val="24"/>
                <w:szCs w:val="24"/>
                <w:lang w:val="en-US" w:eastAsia="zh-CN"/>
              </w:rPr>
            </w:pPr>
            <w:r>
              <w:rPr>
                <w:rFonts w:hint="eastAsia"/>
                <w:spacing w:val="0"/>
                <w:sz w:val="24"/>
                <w:szCs w:val="24"/>
                <w:lang w:val="en-US" w:eastAsia="zh-CN"/>
              </w:rPr>
              <w:t>华泰资管：骆昊游</w:t>
            </w:r>
          </w:p>
          <w:p w14:paraId="39CE6244">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default"/>
                <w:spacing w:val="0"/>
                <w:sz w:val="24"/>
                <w:szCs w:val="24"/>
                <w:lang w:val="en-US" w:eastAsia="zh-CN"/>
              </w:rPr>
            </w:pPr>
            <w:r>
              <w:rPr>
                <w:rFonts w:hint="eastAsia"/>
                <w:spacing w:val="0"/>
                <w:sz w:val="24"/>
                <w:szCs w:val="24"/>
                <w:lang w:val="en-US" w:eastAsia="zh-CN"/>
              </w:rPr>
              <w:t>双安资产：李随军</w:t>
            </w:r>
          </w:p>
        </w:tc>
      </w:tr>
      <w:tr w14:paraId="4432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1C3049F9">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时间</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0B7EF019">
            <w:pPr>
              <w:spacing w:line="480" w:lineRule="atLeast"/>
              <w:rPr>
                <w:rFonts w:hint="default" w:ascii="宋体" w:eastAsia="宋体" w:cs="宋体"/>
                <w:color w:val="000000"/>
                <w:kern w:val="0"/>
                <w:sz w:val="24"/>
                <w:szCs w:val="24"/>
                <w:lang w:val="en-US" w:eastAsia="zh-CN"/>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 xml:space="preserve">日 </w:t>
            </w:r>
            <w:r>
              <w:rPr>
                <w:rFonts w:hint="eastAsia" w:ascii="宋体" w:hAnsi="宋体" w:eastAsia="宋体" w:cs="宋体"/>
                <w:color w:val="000000"/>
                <w:kern w:val="0"/>
                <w:sz w:val="24"/>
                <w:szCs w:val="24"/>
                <w:lang w:val="en-US" w:eastAsia="zh-CN"/>
              </w:rPr>
              <w:t>14:00~16:00</w:t>
            </w:r>
          </w:p>
        </w:tc>
      </w:tr>
      <w:tr w14:paraId="4867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15DC59B6">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地点</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03CD44E5">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lang w:eastAsia="zh-CN"/>
              </w:rPr>
              <w:t>中节能万润股份有限公司本部</w:t>
            </w:r>
            <w:r>
              <w:rPr>
                <w:rFonts w:hint="eastAsia" w:ascii="宋体" w:hAnsi="宋体" w:cs="宋体"/>
                <w:color w:val="000000"/>
                <w:kern w:val="0"/>
                <w:sz w:val="24"/>
                <w:szCs w:val="24"/>
                <w:lang w:val="en-US" w:eastAsia="zh-CN"/>
              </w:rPr>
              <w:t>会议室</w:t>
            </w:r>
          </w:p>
        </w:tc>
      </w:tr>
      <w:tr w14:paraId="7854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3E8783BE">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04AFA686">
            <w:pPr>
              <w:spacing w:line="480" w:lineRule="atLeas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现场会议</w:t>
            </w:r>
          </w:p>
        </w:tc>
      </w:tr>
      <w:tr w14:paraId="61E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12EF33B5">
            <w:pPr>
              <w:spacing w:line="480" w:lineRule="atLeast"/>
              <w:rPr>
                <w:rFonts w:ascii="宋体"/>
                <w:color w:val="000000"/>
                <w:kern w:val="0"/>
                <w:sz w:val="24"/>
                <w:szCs w:val="24"/>
              </w:rPr>
            </w:pPr>
            <w:r>
              <w:rPr>
                <w:rFonts w:hint="eastAsia" w:ascii="宋体" w:hAnsi="宋体" w:cs="宋体"/>
                <w:color w:val="000000"/>
                <w:kern w:val="0"/>
                <w:sz w:val="24"/>
                <w:szCs w:val="24"/>
              </w:rPr>
              <w:t>上市公司接待人员姓名</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5E79E730">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董事长：黄以武</w:t>
            </w:r>
          </w:p>
          <w:p w14:paraId="27323C8F">
            <w:pPr>
              <w:spacing w:line="480" w:lineRule="atLeast"/>
              <w:rPr>
                <w:rFonts w:hint="eastAsia" w:ascii="宋体" w:hAnsi="宋体" w:cs="宋体"/>
                <w:color w:val="000000"/>
                <w:kern w:val="0"/>
                <w:sz w:val="24"/>
                <w:szCs w:val="24"/>
              </w:rPr>
            </w:pPr>
            <w:r>
              <w:rPr>
                <w:rFonts w:hint="eastAsia" w:ascii="宋体" w:hAnsi="宋体" w:cs="宋体"/>
                <w:color w:val="000000"/>
                <w:kern w:val="0"/>
                <w:sz w:val="24"/>
                <w:szCs w:val="24"/>
              </w:rPr>
              <w:t>董事会秘书：于书敏</w:t>
            </w:r>
          </w:p>
          <w:p w14:paraId="277298D7">
            <w:pPr>
              <w:spacing w:line="480" w:lineRule="atLeast"/>
              <w:rPr>
                <w:rFonts w:ascii="宋体" w:hAnsi="宋体" w:cs="宋体"/>
                <w:color w:val="000000"/>
                <w:kern w:val="0"/>
                <w:sz w:val="24"/>
                <w:szCs w:val="24"/>
              </w:rPr>
            </w:pPr>
            <w:r>
              <w:rPr>
                <w:rFonts w:hint="eastAsia" w:ascii="宋体" w:hAnsi="宋体" w:cs="宋体"/>
                <w:color w:val="000000"/>
                <w:kern w:val="0"/>
                <w:sz w:val="24"/>
                <w:szCs w:val="24"/>
              </w:rPr>
              <w:t>证券部其他工作人员</w:t>
            </w:r>
          </w:p>
        </w:tc>
      </w:tr>
      <w:tr w14:paraId="6350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18F2CAEE">
            <w:pPr>
              <w:widowControl/>
              <w:shd w:val="clear" w:color="auto" w:fill="FFFFFF"/>
              <w:spacing w:line="360" w:lineRule="atLeast"/>
              <w:rPr>
                <w:rFonts w:ascii="宋体" w:hAnsi="宋体"/>
                <w:color w:val="000000"/>
                <w:kern w:val="0"/>
                <w:sz w:val="24"/>
                <w:szCs w:val="24"/>
              </w:rPr>
            </w:pPr>
            <w:r>
              <w:rPr>
                <w:rFonts w:hint="eastAsia" w:ascii="宋体" w:hAnsi="宋体"/>
                <w:color w:val="000000"/>
                <w:kern w:val="0"/>
                <w:sz w:val="24"/>
                <w:szCs w:val="24"/>
                <w:lang w:eastAsia="zh-CN"/>
              </w:rPr>
              <w:t>交流内容及具体问答记录</w:t>
            </w:r>
          </w:p>
        </w:tc>
        <w:tc>
          <w:tcPr>
            <w:tcW w:w="7800" w:type="dxa"/>
            <w:gridSpan w:val="2"/>
            <w:tcBorders>
              <w:top w:val="single" w:color="auto" w:sz="4" w:space="0"/>
              <w:left w:val="single" w:color="auto" w:sz="4" w:space="0"/>
              <w:bottom w:val="single" w:color="auto" w:sz="4" w:space="0"/>
              <w:right w:val="single" w:color="auto" w:sz="4" w:space="0"/>
            </w:tcBorders>
            <w:noWrap w:val="0"/>
            <w:vAlign w:val="top"/>
          </w:tcPr>
          <w:p w14:paraId="02BD7235">
            <w:pPr>
              <w:keepNext w:val="0"/>
              <w:keepLines w:val="0"/>
              <w:pageBreakBefore w:val="0"/>
              <w:widowControl/>
              <w:numPr>
                <w:ilvl w:val="0"/>
                <w:numId w:val="1"/>
              </w:numPr>
              <w:tabs>
                <w:tab w:val="left" w:pos="720"/>
              </w:tabs>
              <w:kinsoku/>
              <w:wordWrap/>
              <w:overflowPunct/>
              <w:topLinePunct w:val="0"/>
              <w:autoSpaceDE w:val="0"/>
              <w:autoSpaceDN w:val="0"/>
              <w:bidi w:val="0"/>
              <w:adjustRightInd w:val="0"/>
              <w:snapToGrid/>
              <w:spacing w:before="0" w:beforeLines="0" w:line="360" w:lineRule="auto"/>
              <w:ind w:firstLine="482" w:firstLineChars="200"/>
              <w:textAlignment w:val="auto"/>
              <w:rPr>
                <w:rFonts w:hint="eastAsia" w:ascii="宋体" w:hAnsi="宋体" w:eastAsia="宋体" w:cs="宋体"/>
                <w:kern w:val="0"/>
                <w:sz w:val="24"/>
                <w:szCs w:val="24"/>
                <w:lang w:val="en-US" w:eastAsia="zh-CN"/>
              </w:rPr>
            </w:pPr>
            <w:r>
              <w:rPr>
                <w:rFonts w:hint="eastAsia" w:ascii="宋体" w:hAnsi="宋体" w:cs="宋体"/>
                <w:b/>
                <w:bCs/>
                <w:kern w:val="0"/>
                <w:sz w:val="24"/>
                <w:szCs w:val="24"/>
              </w:rPr>
              <w:t>公司情况介绍</w:t>
            </w:r>
          </w:p>
          <w:p w14:paraId="2AB4F3B3">
            <w:pPr>
              <w:tabs>
                <w:tab w:val="left" w:pos="720"/>
              </w:tabs>
              <w:autoSpaceDE w:val="0"/>
              <w:autoSpaceDN w:val="0"/>
              <w:adjustRightIn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rPr>
              <w:t>公司</w:t>
            </w:r>
            <w:r>
              <w:rPr>
                <w:rFonts w:hint="eastAsia" w:ascii="宋体" w:hAnsi="宋体" w:cs="宋体"/>
                <w:kern w:val="0"/>
                <w:sz w:val="24"/>
                <w:szCs w:val="24"/>
                <w:lang w:val="en-US" w:eastAsia="zh-CN"/>
              </w:rPr>
              <w:t>是</w:t>
            </w:r>
            <w:r>
              <w:rPr>
                <w:rFonts w:hint="eastAsia" w:ascii="宋体" w:hAnsi="宋体" w:cs="宋体"/>
                <w:kern w:val="0"/>
                <w:sz w:val="24"/>
                <w:szCs w:val="24"/>
              </w:rPr>
              <w:t>以研发创新驱动的平台型企业</w:t>
            </w:r>
            <w:r>
              <w:rPr>
                <w:rFonts w:hint="eastAsia" w:ascii="宋体" w:hAnsi="宋体" w:cs="宋体"/>
                <w:kern w:val="0"/>
                <w:sz w:val="24"/>
                <w:szCs w:val="24"/>
                <w:lang w:eastAsia="zh-CN"/>
              </w:rPr>
              <w:t>，</w:t>
            </w:r>
            <w:r>
              <w:rPr>
                <w:rFonts w:hint="eastAsia" w:ascii="宋体" w:hAnsi="宋体" w:cs="宋体"/>
                <w:kern w:val="0"/>
                <w:sz w:val="24"/>
                <w:szCs w:val="24"/>
              </w:rPr>
              <w:t>自成立以来长期致力于先进新材料的研发创新与产业化落地，现主要从事环保材料产业、电子信息材料产业、新能源材料产业以及生命科学与医药产业四个领域产品的研发、生产和销售。</w:t>
            </w:r>
            <w:r>
              <w:rPr>
                <w:rFonts w:hint="eastAsia" w:ascii="宋体" w:hAnsi="宋体" w:cs="宋体"/>
                <w:kern w:val="0"/>
                <w:sz w:val="24"/>
                <w:szCs w:val="24"/>
                <w:lang w:val="en-US" w:eastAsia="zh-CN"/>
              </w:rPr>
              <w:t>2024年以来至2025年一季度，全球经济形势不容乐观，公司受到部分产品订单金额减少及毛利率变化等因素的影响，2024年度及2025年一季度收入与利润出现同比下降的情况。2024年度公司实现营业收入36.93亿元，同比下降约14.22%，实现归属于上市公司股东的净利润约2.46亿元，同比下降约67.72%；2025年一季度实现营业收入约8.61亿元，同比下降约8.17%，实现归属于上市公司股东的净利润约0.80亿元，同比下降约18.76%。面对压力，公司继续保持以研发创新驱动公司可持续发展，公司2024年度研发投入约</w:t>
            </w:r>
            <w:r>
              <w:rPr>
                <w:rFonts w:hint="eastAsia" w:ascii="宋体" w:hAnsi="宋体" w:eastAsia="宋体" w:cs="宋体"/>
                <w:kern w:val="0"/>
                <w:sz w:val="24"/>
                <w:szCs w:val="24"/>
                <w:lang w:val="en-US" w:eastAsia="zh-CN"/>
              </w:rPr>
              <w:t>4.23亿元，</w:t>
            </w:r>
            <w:r>
              <w:rPr>
                <w:rFonts w:hint="eastAsia" w:ascii="宋体" w:hAnsi="宋体" w:cs="宋体"/>
                <w:kern w:val="0"/>
                <w:sz w:val="24"/>
                <w:szCs w:val="24"/>
                <w:lang w:val="en-US" w:eastAsia="zh-CN"/>
              </w:rPr>
              <w:t>较比去年同期增长约13.66%，在</w:t>
            </w:r>
            <w:r>
              <w:rPr>
                <w:rFonts w:hint="eastAsia" w:ascii="宋体" w:hAnsi="宋体" w:eastAsia="宋体" w:cs="宋体"/>
                <w:b w:val="0"/>
                <w:bCs w:val="0"/>
                <w:kern w:val="0"/>
                <w:sz w:val="24"/>
                <w:szCs w:val="24"/>
                <w:lang w:val="en-US" w:eastAsia="zh-CN"/>
              </w:rPr>
              <w:t>半导体制造材料、OLED材料、聚酰亚胺材料、其他高性能聚合物等多类材料方面持续投入研发，</w:t>
            </w:r>
            <w:r>
              <w:rPr>
                <w:rFonts w:hint="eastAsia" w:ascii="宋体" w:hAnsi="宋体" w:cs="宋体"/>
                <w:kern w:val="0"/>
                <w:sz w:val="24"/>
                <w:szCs w:val="24"/>
                <w:lang w:val="en-US" w:eastAsia="zh-CN"/>
              </w:rPr>
              <w:t>争取为公司赢得更多市场机会。</w:t>
            </w:r>
          </w:p>
          <w:p w14:paraId="68FC3082">
            <w:pPr>
              <w:numPr>
                <w:ilvl w:val="0"/>
                <w:numId w:val="0"/>
              </w:numPr>
              <w:overflowPunct w:val="0"/>
              <w:autoSpaceDE w:val="0"/>
              <w:autoSpaceDN w:val="0"/>
              <w:adjustRightInd w:val="0"/>
              <w:spacing w:beforeLines="0" w:line="360" w:lineRule="auto"/>
              <w:ind w:firstLine="480" w:firstLineChars="200"/>
              <w:outlineLvl w:val="9"/>
              <w:rPr>
                <w:rFonts w:hint="eastAsia"/>
                <w:lang w:val="en-US" w:eastAsia="zh-CN"/>
              </w:rPr>
            </w:pPr>
            <w:r>
              <w:rPr>
                <w:rFonts w:hint="eastAsia" w:ascii="Times New Roman" w:hAnsi="Times New Roman" w:eastAsia="宋体" w:cs="Times New Roman"/>
                <w:color w:val="000000"/>
                <w:kern w:val="0"/>
                <w:sz w:val="24"/>
                <w:szCs w:val="21"/>
                <w:lang w:val="en-US" w:eastAsia="zh-CN"/>
              </w:rPr>
              <w:t>在国内产业合作方面，2025年3月公司与</w:t>
            </w:r>
            <w:r>
              <w:rPr>
                <w:rFonts w:hint="eastAsia" w:ascii="Times New Roman" w:hAnsi="Times New Roman" w:eastAsia="宋体" w:cs="Times New Roman"/>
                <w:color w:val="000000"/>
                <w:kern w:val="0"/>
                <w:sz w:val="24"/>
                <w:szCs w:val="21"/>
                <w:lang w:val="en-US" w:eastAsia="zh-CN" w:bidi="ar-SA"/>
              </w:rPr>
              <w:t>中国石化催化剂有限公司签署了《项目合作意向书》，该意向书的签署</w:t>
            </w:r>
            <w:r>
              <w:rPr>
                <w:rFonts w:hint="eastAsia" w:ascii="Times New Roman" w:hAnsi="Times New Roman" w:eastAsia="宋体" w:cs="Times New Roman"/>
                <w:color w:val="000000"/>
                <w:kern w:val="0"/>
                <w:sz w:val="24"/>
                <w:szCs w:val="21"/>
                <w:lang w:val="en-US" w:eastAsia="zh-CN"/>
              </w:rPr>
              <w:t>有利于实现双方的资源共享与技术互补，并有望为公司</w:t>
            </w:r>
            <w:r>
              <w:rPr>
                <w:rFonts w:hint="eastAsia" w:ascii="Times New Roman" w:hAnsi="Times New Roman" w:eastAsia="宋体" w:cs="Times New Roman"/>
                <w:color w:val="000000"/>
                <w:kern w:val="0"/>
                <w:sz w:val="24"/>
                <w:szCs w:val="21"/>
                <w:lang w:val="en-US" w:eastAsia="zh-CN" w:bidi="ar-SA"/>
              </w:rPr>
              <w:t>模板剂、分子筛产品</w:t>
            </w:r>
            <w:r>
              <w:rPr>
                <w:rFonts w:hint="eastAsia" w:ascii="Times New Roman" w:hAnsi="Times New Roman" w:eastAsia="宋体" w:cs="Times New Roman"/>
                <w:color w:val="000000"/>
                <w:kern w:val="0"/>
                <w:sz w:val="24"/>
                <w:szCs w:val="21"/>
                <w:lang w:val="en-US" w:eastAsia="zh-CN"/>
              </w:rPr>
              <w:t>带来发展机遇；2024年10月公司与北京京东方材料科技有限公司、烟台德邦科技股份有限公司、烟台业达经济发展集团有限公司共同设立了烟台京东方材料科技有限公司，</w:t>
            </w:r>
            <w:r>
              <w:rPr>
                <w:rFonts w:hint="eastAsia" w:ascii="Times New Roman" w:hAnsi="Times New Roman" w:eastAsia="宋体" w:cs="Times New Roman"/>
                <w:color w:val="000000"/>
                <w:kern w:val="0"/>
                <w:sz w:val="24"/>
                <w:szCs w:val="21"/>
                <w:lang w:eastAsia="zh-CN"/>
              </w:rPr>
              <w:t>有望促进</w:t>
            </w:r>
            <w:r>
              <w:rPr>
                <w:rFonts w:hint="eastAsia" w:ascii="Times New Roman" w:hAnsi="Times New Roman" w:eastAsia="宋体" w:cs="Times New Roman"/>
                <w:color w:val="000000"/>
                <w:kern w:val="0"/>
                <w:sz w:val="24"/>
                <w:szCs w:val="21"/>
                <w:lang w:val="en-US" w:eastAsia="zh-CN"/>
              </w:rPr>
              <w:t>公司</w:t>
            </w:r>
            <w:r>
              <w:rPr>
                <w:rFonts w:hint="eastAsia" w:ascii="Times New Roman" w:hAnsi="Times New Roman" w:eastAsia="宋体" w:cs="Times New Roman"/>
                <w:color w:val="000000"/>
                <w:kern w:val="0"/>
                <w:sz w:val="24"/>
                <w:szCs w:val="21"/>
              </w:rPr>
              <w:t>与</w:t>
            </w:r>
            <w:r>
              <w:rPr>
                <w:rFonts w:hint="eastAsia" w:ascii="Times New Roman" w:hAnsi="Times New Roman" w:eastAsia="宋体" w:cs="Times New Roman"/>
                <w:color w:val="000000"/>
                <w:kern w:val="0"/>
                <w:sz w:val="24"/>
                <w:szCs w:val="21"/>
                <w:lang w:val="en-US" w:eastAsia="zh-CN"/>
              </w:rPr>
              <w:t>产业链下游企业</w:t>
            </w:r>
            <w:r>
              <w:rPr>
                <w:rFonts w:hint="eastAsia" w:ascii="Times New Roman" w:hAnsi="Times New Roman" w:eastAsia="宋体" w:cs="Times New Roman"/>
                <w:color w:val="000000"/>
                <w:kern w:val="0"/>
                <w:sz w:val="24"/>
                <w:szCs w:val="21"/>
                <w:lang w:eastAsia="zh-CN"/>
              </w:rPr>
              <w:t>建立更为紧密的合作关系，并</w:t>
            </w:r>
            <w:r>
              <w:rPr>
                <w:rFonts w:hint="eastAsia" w:ascii="Times New Roman" w:hAnsi="Times New Roman" w:eastAsia="宋体" w:cs="Times New Roman"/>
                <w:color w:val="000000"/>
                <w:kern w:val="0"/>
                <w:sz w:val="24"/>
                <w:szCs w:val="21"/>
              </w:rPr>
              <w:t>有助于实现</w:t>
            </w:r>
            <w:r>
              <w:rPr>
                <w:rFonts w:hint="eastAsia" w:ascii="Times New Roman" w:hAnsi="Times New Roman" w:eastAsia="宋体" w:cs="Times New Roman"/>
                <w:color w:val="000000"/>
                <w:kern w:val="0"/>
                <w:sz w:val="24"/>
                <w:szCs w:val="21"/>
                <w:lang w:eastAsia="zh-CN"/>
              </w:rPr>
              <w:t>产业链相关</w:t>
            </w:r>
            <w:r>
              <w:rPr>
                <w:rFonts w:hint="eastAsia" w:ascii="Times New Roman" w:hAnsi="Times New Roman" w:eastAsia="宋体" w:cs="Times New Roman"/>
                <w:color w:val="000000"/>
                <w:kern w:val="0"/>
                <w:sz w:val="24"/>
                <w:szCs w:val="21"/>
              </w:rPr>
              <w:t>环节的协同配合</w:t>
            </w:r>
            <w:r>
              <w:rPr>
                <w:rFonts w:hint="eastAsia" w:ascii="Times New Roman" w:hAnsi="Times New Roman" w:eastAsia="宋体" w:cs="Times New Roman"/>
                <w:color w:val="000000"/>
                <w:kern w:val="0"/>
                <w:sz w:val="24"/>
                <w:szCs w:val="21"/>
                <w:lang w:eastAsia="zh-CN"/>
              </w:rPr>
              <w:t>与</w:t>
            </w:r>
            <w:r>
              <w:rPr>
                <w:rFonts w:hint="eastAsia" w:ascii="Times New Roman" w:hAnsi="Times New Roman" w:eastAsia="宋体" w:cs="Times New Roman"/>
                <w:color w:val="000000"/>
                <w:kern w:val="0"/>
                <w:sz w:val="24"/>
                <w:szCs w:val="21"/>
              </w:rPr>
              <w:t>共赢发展</w:t>
            </w:r>
            <w:r>
              <w:rPr>
                <w:rFonts w:hint="eastAsia" w:ascii="Times New Roman" w:hAnsi="Times New Roman" w:eastAsia="宋体" w:cs="Times New Roman"/>
                <w:color w:val="000000"/>
                <w:kern w:val="0"/>
                <w:sz w:val="24"/>
                <w:szCs w:val="21"/>
                <w:lang w:eastAsia="zh-CN"/>
              </w:rPr>
              <w:t>。</w:t>
            </w:r>
          </w:p>
          <w:p w14:paraId="0521391E">
            <w:pPr>
              <w:tabs>
                <w:tab w:val="left" w:pos="720"/>
              </w:tabs>
              <w:autoSpaceDE w:val="0"/>
              <w:autoSpaceDN w:val="0"/>
              <w:adjustRightIn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2024年以来，虽然部分下游需求变化等因素对公司业绩产生了影响，但公司主要产品的市场地位持续稳固，前沿材料的产品开发与市场拓展也在持续推进，我们将继续坚定不移的以研发创新驱动公司未来发展，</w:t>
            </w:r>
            <w:r>
              <w:rPr>
                <w:rFonts w:hint="eastAsia" w:ascii="宋体" w:hAnsi="宋体" w:eastAsia="宋体" w:cs="宋体"/>
                <w:sz w:val="24"/>
                <w:szCs w:val="24"/>
                <w:lang w:val="en-US" w:eastAsia="zh-CN"/>
              </w:rPr>
              <w:t>向着成为世界先进化学材料制造者的目标砥砺前行</w:t>
            </w:r>
            <w:r>
              <w:rPr>
                <w:rFonts w:hint="eastAsia" w:ascii="宋体" w:hAnsi="宋体" w:cs="宋体"/>
                <w:kern w:val="0"/>
                <w:sz w:val="24"/>
                <w:szCs w:val="24"/>
                <w:lang w:val="en-US" w:eastAsia="zh-CN"/>
              </w:rPr>
              <w:t>。</w:t>
            </w:r>
          </w:p>
          <w:p w14:paraId="1161A7EE">
            <w:pPr>
              <w:pStyle w:val="2"/>
              <w:rPr>
                <w:rFonts w:hint="eastAsia"/>
                <w:lang w:val="en-US" w:eastAsia="zh-CN"/>
              </w:rPr>
            </w:pPr>
          </w:p>
          <w:p w14:paraId="32D18914">
            <w:pPr>
              <w:numPr>
                <w:ilvl w:val="0"/>
                <w:numId w:val="0"/>
              </w:numPr>
              <w:tabs>
                <w:tab w:val="left" w:pos="720"/>
              </w:tabs>
              <w:autoSpaceDE w:val="0"/>
              <w:autoSpaceDN w:val="0"/>
              <w:adjustRightInd w:val="0"/>
              <w:spacing w:beforeLines="0" w:line="360" w:lineRule="auto"/>
              <w:ind w:firstLine="482" w:firstLineChars="200"/>
              <w:rPr>
                <w:rFonts w:hint="eastAsia" w:ascii="宋体" w:hAnsi="宋体" w:eastAsia="宋体" w:cs="宋体"/>
                <w:sz w:val="24"/>
                <w:szCs w:val="24"/>
                <w:lang w:val="en-US" w:eastAsia="zh-CN"/>
              </w:rPr>
            </w:pPr>
            <w:r>
              <w:rPr>
                <w:rFonts w:hint="eastAsia" w:ascii="宋体" w:hAnsi="宋体" w:cs="宋体"/>
                <w:b/>
                <w:bCs/>
                <w:kern w:val="0"/>
                <w:sz w:val="24"/>
                <w:szCs w:val="24"/>
                <w:lang w:eastAsia="zh-CN"/>
              </w:rPr>
              <w:t>二</w:t>
            </w:r>
            <w:r>
              <w:rPr>
                <w:rFonts w:hint="eastAsia" w:ascii="宋体" w:hAnsi="宋体" w:cs="宋体"/>
                <w:b/>
                <w:bCs/>
                <w:kern w:val="0"/>
                <w:sz w:val="24"/>
                <w:szCs w:val="24"/>
              </w:rPr>
              <w:t>、问答环节</w:t>
            </w:r>
          </w:p>
          <w:p w14:paraId="0AE1EE2E">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1、问：公司相关的回购与增持事项介绍。</w:t>
            </w:r>
          </w:p>
          <w:p w14:paraId="42307861">
            <w:pPr>
              <w:numPr>
                <w:ilvl w:val="0"/>
                <w:numId w:val="0"/>
              </w:numPr>
              <w:overflowPunct w:val="0"/>
              <w:autoSpaceDE w:val="0"/>
              <w:autoSpaceDN w:val="0"/>
              <w:adjustRightInd w:val="0"/>
              <w:spacing w:beforeLines="0" w:line="360" w:lineRule="auto"/>
              <w:ind w:firstLine="480" w:firstLineChars="200"/>
              <w:outlineLvl w:val="9"/>
              <w:rPr>
                <w:rFonts w:hint="eastAsia" w:ascii="宋体" w:hAnsi="宋体" w:cs="宋体"/>
                <w:sz w:val="24"/>
                <w:szCs w:val="24"/>
                <w:highlight w:val="none"/>
                <w:lang w:val="en-US" w:eastAsia="zh-CN"/>
              </w:rPr>
            </w:pPr>
            <w:r>
              <w:rPr>
                <w:rFonts w:hint="eastAsia" w:ascii="Times New Roman" w:hAnsi="Times New Roman" w:eastAsia="宋体" w:cs="Times New Roman"/>
                <w:color w:val="000000"/>
                <w:kern w:val="0"/>
                <w:sz w:val="24"/>
                <w:lang w:val="en-US" w:eastAsia="zh-CN"/>
              </w:rPr>
              <w:t>答：在股东增持与公司回购方面，公司</w:t>
            </w:r>
            <w:r>
              <w:rPr>
                <w:rFonts w:hint="default" w:ascii="Times New Roman" w:hAnsi="Times New Roman" w:eastAsia="宋体" w:cs="Times New Roman"/>
                <w:color w:val="000000"/>
                <w:kern w:val="0"/>
                <w:sz w:val="24"/>
                <w:lang w:val="en-US" w:eastAsia="zh-CN"/>
              </w:rPr>
              <w:t>5%以上股东鲁银投资为优化</w:t>
            </w:r>
            <w:r>
              <w:rPr>
                <w:rFonts w:hint="eastAsia" w:eastAsia="宋体" w:cs="Times New Roman"/>
                <w:color w:val="000000"/>
                <w:kern w:val="0"/>
                <w:sz w:val="24"/>
                <w:lang w:val="en-US" w:eastAsia="zh-CN"/>
              </w:rPr>
              <w:t>其</w:t>
            </w:r>
            <w:r>
              <w:rPr>
                <w:rFonts w:hint="default" w:ascii="Times New Roman" w:hAnsi="Times New Roman" w:eastAsia="宋体" w:cs="Times New Roman"/>
                <w:color w:val="000000"/>
                <w:kern w:val="0"/>
                <w:sz w:val="24"/>
                <w:lang w:val="en-US" w:eastAsia="zh-CN"/>
              </w:rPr>
              <w:t>资产配置，提升投资者信心、促进资本市场稳定发展</w:t>
            </w:r>
            <w:r>
              <w:rPr>
                <w:rFonts w:hint="eastAsia" w:ascii="Times New Roman" w:hAnsi="Times New Roman" w:eastAsia="宋体" w:cs="Times New Roman"/>
                <w:color w:val="000000"/>
                <w:kern w:val="0"/>
                <w:sz w:val="24"/>
                <w:lang w:val="en-US" w:eastAsia="zh-CN"/>
              </w:rPr>
              <w:t>，</w:t>
            </w:r>
            <w:r>
              <w:rPr>
                <w:rFonts w:hint="default" w:ascii="Times New Roman" w:hAnsi="Times New Roman" w:eastAsia="宋体" w:cs="Times New Roman"/>
                <w:color w:val="000000"/>
                <w:kern w:val="0"/>
                <w:sz w:val="24"/>
                <w:highlight w:val="none"/>
                <w:lang w:val="en-US" w:eastAsia="zh-CN"/>
              </w:rPr>
              <w:t>计划自2025年2月2</w:t>
            </w:r>
            <w:r>
              <w:rPr>
                <w:rFonts w:hint="eastAsia" w:eastAsia="宋体" w:cs="Times New Roman"/>
                <w:color w:val="000000"/>
                <w:kern w:val="0"/>
                <w:sz w:val="24"/>
                <w:highlight w:val="none"/>
                <w:lang w:val="en-US" w:eastAsia="zh-CN"/>
              </w:rPr>
              <w:t>1</w:t>
            </w:r>
            <w:r>
              <w:rPr>
                <w:rFonts w:hint="default" w:ascii="Times New Roman" w:hAnsi="Times New Roman" w:eastAsia="宋体" w:cs="Times New Roman"/>
                <w:color w:val="000000"/>
                <w:kern w:val="0"/>
                <w:sz w:val="24"/>
                <w:highlight w:val="none"/>
                <w:lang w:val="en-US" w:eastAsia="zh-CN"/>
              </w:rPr>
              <w:t>日</w:t>
            </w:r>
            <w:r>
              <w:rPr>
                <w:rFonts w:hint="eastAsia" w:eastAsia="宋体" w:cs="Times New Roman"/>
                <w:color w:val="000000"/>
                <w:kern w:val="0"/>
                <w:sz w:val="24"/>
                <w:highlight w:val="none"/>
                <w:lang w:val="en-US" w:eastAsia="zh-CN"/>
              </w:rPr>
              <w:t>起6个月内</w:t>
            </w:r>
            <w:r>
              <w:rPr>
                <w:rFonts w:hint="default" w:ascii="Times New Roman" w:hAnsi="Times New Roman" w:eastAsia="宋体" w:cs="Times New Roman"/>
                <w:color w:val="000000"/>
                <w:kern w:val="0"/>
                <w:sz w:val="24"/>
                <w:highlight w:val="none"/>
                <w:lang w:val="en-US" w:eastAsia="zh-CN"/>
              </w:rPr>
              <w:t>择机以适当的价格增持公司股份，拟增持金额1.25亿元</w:t>
            </w:r>
            <w:r>
              <w:rPr>
                <w:rFonts w:hint="eastAsia" w:ascii="Times New Roman" w:hAnsi="Times New Roman" w:eastAsia="宋体" w:cs="Times New Roman"/>
                <w:color w:val="000000"/>
                <w:kern w:val="0"/>
                <w:sz w:val="24"/>
                <w:highlight w:val="none"/>
                <w:lang w:val="en-US" w:eastAsia="zh-CN"/>
              </w:rPr>
              <w:t>至</w:t>
            </w:r>
            <w:r>
              <w:rPr>
                <w:rFonts w:hint="default" w:ascii="Times New Roman" w:hAnsi="Times New Roman" w:eastAsia="宋体" w:cs="Times New Roman"/>
                <w:color w:val="000000"/>
                <w:kern w:val="0"/>
                <w:sz w:val="24"/>
                <w:highlight w:val="none"/>
                <w:lang w:val="en-US" w:eastAsia="zh-CN"/>
              </w:rPr>
              <w:t>2.5亿元</w:t>
            </w:r>
            <w:r>
              <w:rPr>
                <w:rFonts w:hint="eastAsia" w:ascii="Times New Roman" w:hAnsi="Times New Roman" w:eastAsia="宋体" w:cs="Times New Roman"/>
                <w:color w:val="000000"/>
                <w:kern w:val="0"/>
                <w:sz w:val="24"/>
                <w:highlight w:val="none"/>
                <w:lang w:val="en-US" w:eastAsia="zh-CN"/>
              </w:rPr>
              <w:t>，</w:t>
            </w:r>
            <w:r>
              <w:rPr>
                <w:rFonts w:hint="default" w:ascii="Times New Roman" w:hAnsi="Times New Roman" w:eastAsia="宋体" w:cs="Times New Roman"/>
                <w:color w:val="000000"/>
                <w:kern w:val="0"/>
                <w:sz w:val="24"/>
                <w:highlight w:val="none"/>
                <w:lang w:val="en-US" w:eastAsia="zh-CN"/>
              </w:rPr>
              <w:t>现</w:t>
            </w:r>
            <w:r>
              <w:rPr>
                <w:rFonts w:hint="eastAsia" w:ascii="Times New Roman" w:hAnsi="Times New Roman" w:eastAsia="宋体" w:cs="Times New Roman"/>
                <w:color w:val="000000"/>
                <w:kern w:val="0"/>
                <w:sz w:val="24"/>
                <w:highlight w:val="none"/>
                <w:lang w:val="en-US" w:eastAsia="zh-CN"/>
              </w:rPr>
              <w:t>该增持计划正在实施中；公司</w:t>
            </w:r>
            <w:r>
              <w:rPr>
                <w:rFonts w:hint="eastAsia" w:ascii="宋体" w:hAnsi="宋体" w:cs="宋体"/>
                <w:kern w:val="0"/>
                <w:sz w:val="24"/>
                <w:szCs w:val="24"/>
                <w:lang w:val="en-US" w:eastAsia="zh-CN"/>
              </w:rPr>
              <w:t>为</w:t>
            </w:r>
            <w:r>
              <w:rPr>
                <w:rFonts w:hint="eastAsia" w:ascii="宋体" w:hAnsi="宋体" w:cs="宋体"/>
                <w:sz w:val="24"/>
                <w:szCs w:val="24"/>
                <w:highlight w:val="none"/>
                <w:lang w:val="en-US" w:eastAsia="zh-CN"/>
              </w:rPr>
              <w:t>维护公司全体股东利益，增强投资者信心，经公司董事长提议</w:t>
            </w:r>
            <w:r>
              <w:rPr>
                <w:rFonts w:hint="eastAsia" w:ascii="宋体" w:hAnsi="宋体" w:cs="宋体"/>
                <w:kern w:val="0"/>
                <w:sz w:val="24"/>
                <w:szCs w:val="24"/>
                <w:highlight w:val="none"/>
                <w:lang w:val="en-US" w:eastAsia="zh-CN"/>
              </w:rPr>
              <w:t>近日</w:t>
            </w:r>
            <w:r>
              <w:rPr>
                <w:rFonts w:hint="eastAsia" w:ascii="宋体" w:hAnsi="宋体" w:cs="宋体"/>
                <w:kern w:val="0"/>
                <w:sz w:val="24"/>
                <w:szCs w:val="24"/>
                <w:lang w:val="en-US" w:eastAsia="zh-CN"/>
              </w:rPr>
              <w:t>公司</w:t>
            </w:r>
            <w:r>
              <w:rPr>
                <w:rFonts w:hint="eastAsia" w:ascii="宋体" w:hAnsi="宋体" w:cs="宋体"/>
                <w:kern w:val="0"/>
                <w:sz w:val="24"/>
                <w:szCs w:val="24"/>
                <w:highlight w:val="none"/>
                <w:lang w:val="en-US" w:eastAsia="zh-CN"/>
              </w:rPr>
              <w:t>召开董事会审议了</w:t>
            </w:r>
            <w:r>
              <w:rPr>
                <w:rFonts w:hint="eastAsia" w:ascii="宋体" w:hAnsi="宋体" w:cs="宋体"/>
                <w:b w:val="0"/>
                <w:kern w:val="0"/>
                <w:sz w:val="24"/>
                <w:szCs w:val="24"/>
                <w:highlight w:val="none"/>
              </w:rPr>
              <w:t>回购股份方案</w:t>
            </w:r>
            <w:r>
              <w:rPr>
                <w:rFonts w:hint="eastAsia" w:ascii="宋体" w:hAnsi="宋体" w:cs="宋体"/>
                <w:sz w:val="24"/>
                <w:szCs w:val="24"/>
                <w:highlight w:val="none"/>
                <w:lang w:val="en-US" w:eastAsia="zh-CN"/>
              </w:rPr>
              <w:t>，拟通过集中竞价的交易方式回购金额1亿</w:t>
            </w:r>
            <w:r>
              <w:rPr>
                <w:rFonts w:hint="default" w:ascii="Times New Roman" w:hAnsi="Times New Roman" w:eastAsia="宋体" w:cs="Times New Roman"/>
                <w:color w:val="000000"/>
                <w:kern w:val="0"/>
                <w:sz w:val="24"/>
                <w:highlight w:val="none"/>
                <w:lang w:val="en-US" w:eastAsia="zh-CN"/>
              </w:rPr>
              <w:t>元</w:t>
            </w:r>
            <w:r>
              <w:rPr>
                <w:rFonts w:hint="eastAsia" w:ascii="宋体" w:hAnsi="宋体" w:cs="宋体"/>
                <w:sz w:val="24"/>
                <w:szCs w:val="24"/>
                <w:highlight w:val="none"/>
                <w:lang w:val="en-US" w:eastAsia="zh-CN"/>
              </w:rPr>
              <w:t>到2亿元的公司股份，本次回购股份将用于减少注册资本，通过增厚每股收益，提升公司长期价值，该回购方案也将在股东大会审议。</w:t>
            </w:r>
          </w:p>
          <w:p w14:paraId="3F3CB5D5">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6E120BD8">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2、问：公司半导体制造材料发展态势，产业中的定位。</w:t>
            </w:r>
          </w:p>
          <w:p w14:paraId="44A77FC5">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答：公司</w:t>
            </w:r>
            <w:r>
              <w:rPr>
                <w:rFonts w:hint="eastAsia" w:ascii="宋体" w:hAnsi="宋体" w:eastAsia="宋体" w:cs="宋体"/>
                <w:kern w:val="0"/>
                <w:sz w:val="24"/>
                <w:szCs w:val="24"/>
                <w:lang w:val="en-US" w:eastAsia="zh-CN"/>
              </w:rPr>
              <w:t>2024年至2025年一季度公司半导体制造材料整体收入均呈现增长态势，公司在该领域一直定位于发展成为全球半导体制造材料产业的坚实后盾，为下游半导体成品材料企业提供</w:t>
            </w:r>
            <w:r>
              <w:rPr>
                <w:rFonts w:hint="eastAsia" w:ascii="宋体" w:hAnsi="宋体" w:cs="宋体"/>
                <w:kern w:val="0"/>
                <w:sz w:val="24"/>
                <w:szCs w:val="24"/>
                <w:lang w:val="en-US" w:eastAsia="zh-CN"/>
              </w:rPr>
              <w:t>优质</w:t>
            </w:r>
            <w:r>
              <w:rPr>
                <w:rFonts w:hint="eastAsia" w:ascii="宋体" w:hAnsi="宋体" w:eastAsia="宋体" w:cs="宋体"/>
                <w:kern w:val="0"/>
                <w:sz w:val="24"/>
                <w:szCs w:val="24"/>
                <w:lang w:val="en-US" w:eastAsia="zh-CN"/>
              </w:rPr>
              <w:t>产品与服务</w:t>
            </w:r>
            <w:r>
              <w:rPr>
                <w:rFonts w:hint="eastAsia" w:ascii="宋体" w:hAnsi="宋体" w:eastAsia="宋体" w:cs="宋体"/>
                <w:sz w:val="24"/>
                <w:szCs w:val="24"/>
                <w:lang w:val="en-US" w:eastAsia="zh-CN"/>
              </w:rPr>
              <w:t>。公司已销售的半导体制造材料主要包括</w:t>
            </w:r>
            <w:r>
              <w:rPr>
                <w:rFonts w:hint="eastAsia" w:ascii="宋体" w:hAnsi="宋体" w:eastAsia="宋体" w:cs="宋体"/>
                <w:kern w:val="0"/>
                <w:sz w:val="24"/>
                <w:szCs w:val="24"/>
                <w:lang w:val="en-US" w:eastAsia="zh-CN"/>
              </w:rPr>
              <w:t>光刻胶单体、树脂、光酸以及半导体制程中清洗剂添加材料等。未来公司将继续根据下游国内外成品材料客户的需求做好产品开发、产业化供应以及技术支持等工作。</w:t>
            </w:r>
          </w:p>
          <w:p w14:paraId="204A7902">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41F0C63C">
            <w:pPr>
              <w:numPr>
                <w:ilvl w:val="0"/>
                <w:numId w:val="0"/>
              </w:numPr>
              <w:tabs>
                <w:tab w:val="left" w:pos="720"/>
              </w:tabs>
              <w:autoSpaceDE w:val="0"/>
              <w:autoSpaceDN w:val="0"/>
              <w:adjustRightInd w:val="0"/>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cs="宋体"/>
                <w:b/>
                <w:bCs/>
                <w:kern w:val="0"/>
                <w:sz w:val="24"/>
                <w:szCs w:val="24"/>
                <w:lang w:val="en-US" w:eastAsia="zh-CN"/>
              </w:rPr>
              <w:t>3、问：公司电子显示用的PI产品发展态势，主要的产品。</w:t>
            </w:r>
          </w:p>
          <w:p w14:paraId="338FC2E6">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公司电子及</w:t>
            </w:r>
            <w:r>
              <w:rPr>
                <w:rFonts w:hint="eastAsia" w:ascii="宋体" w:hAnsi="宋体" w:eastAsia="宋体" w:cs="宋体"/>
                <w:b w:val="0"/>
                <w:bCs w:val="0"/>
                <w:kern w:val="0"/>
                <w:sz w:val="24"/>
                <w:szCs w:val="24"/>
                <w:lang w:val="en-US" w:eastAsia="zh-CN"/>
              </w:rPr>
              <w:t>显示用</w:t>
            </w:r>
            <w:r>
              <w:rPr>
                <w:rFonts w:hint="eastAsia" w:ascii="宋体" w:hAnsi="宋体" w:eastAsia="宋体" w:cs="宋体"/>
                <w:kern w:val="0"/>
                <w:sz w:val="24"/>
                <w:szCs w:val="24"/>
                <w:lang w:val="en-US" w:eastAsia="zh-CN"/>
              </w:rPr>
              <w:t>PI材料整体销售情况从2024年至2025年一季度均呈现增长态势，主要的产品包括PI单体材料、液晶面板用取向剂PI成品材料、OLED面板用PSPI成品材料（光敏PI）。在电子与显示领域聚酰亚胺单体材料方面，公司生产技术目前可覆盖大部分高端产品，目前已有多种产品销售。</w:t>
            </w:r>
          </w:p>
          <w:p w14:paraId="20E76A4F">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0A62F2B6">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4、问：关注到近期公司有高性能聚合物材料参加行业展会，公司主要开发的高性能聚合物有哪些，目前处于什么阶段？</w:t>
            </w:r>
          </w:p>
          <w:p w14:paraId="58878F3E">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i w:val="0"/>
                <w:caps w:val="0"/>
                <w:spacing w:val="0"/>
                <w:sz w:val="24"/>
                <w:szCs w:val="24"/>
              </w:rPr>
            </w:pPr>
            <w:r>
              <w:rPr>
                <w:rFonts w:hint="eastAsia" w:ascii="宋体" w:hAnsi="宋体" w:eastAsia="宋体" w:cs="宋体"/>
                <w:sz w:val="24"/>
                <w:szCs w:val="24"/>
                <w:lang w:val="en-US" w:eastAsia="zh-CN"/>
              </w:rPr>
              <w:t>答：</w:t>
            </w:r>
            <w:r>
              <w:rPr>
                <w:rFonts w:hint="eastAsia" w:ascii="宋体" w:hAnsi="宋体" w:eastAsia="宋体" w:cs="宋体"/>
                <w:i w:val="0"/>
                <w:caps w:val="0"/>
                <w:spacing w:val="0"/>
                <w:sz w:val="24"/>
                <w:szCs w:val="24"/>
              </w:rPr>
              <w:t>公司开发的高性能聚合物产品包括热塑性聚酰亚胺产品（包括PEI、TPI、PI-5218）、聚醚醚酮（PEEK）以及高温尼龙（PA46）五大类。其中PEI、TPI、PI-5218均已实现产品销售，PEI产品理论产能1,500吨的量产线在“中节能万润（蓬莱）新材料一期建设项目”中，预计该产线上半年可以投入使用，未来随着产线运行成熟及下游需求增长逐步达产，TPI、PI-5218使用现有通用产能可生产；PEEK产品前期研发和中试工作已完成，正在推进产品下游推广验证工作</w:t>
            </w:r>
            <w:r>
              <w:rPr>
                <w:rFonts w:hint="eastAsia" w:ascii="宋体" w:hAnsi="宋体" w:eastAsia="宋体" w:cs="宋体"/>
                <w:i w:val="0"/>
                <w:caps w:val="0"/>
                <w:spacing w:val="0"/>
                <w:sz w:val="24"/>
                <w:szCs w:val="24"/>
                <w:lang w:val="en-US" w:eastAsia="zh-CN"/>
              </w:rPr>
              <w:t>；</w:t>
            </w:r>
            <w:r>
              <w:rPr>
                <w:rFonts w:hint="eastAsia" w:ascii="宋体" w:hAnsi="宋体" w:eastAsia="宋体" w:cs="宋体"/>
                <w:i w:val="0"/>
                <w:caps w:val="0"/>
                <w:spacing w:val="0"/>
                <w:sz w:val="24"/>
                <w:szCs w:val="24"/>
              </w:rPr>
              <w:t>PA46正处于实验室开发及验证阶段。</w:t>
            </w:r>
          </w:p>
          <w:p w14:paraId="1EE7D3CC">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6B9EA1E6">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5、问：公司OLED材料2024年及2025年一季度的发展态势？</w:t>
            </w:r>
          </w:p>
          <w:p w14:paraId="5FA0AA59">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OLED材料业务主要包括OLED升华前材料及OLED成品材料，OLED业务整体在2024年度收入均呈现增长态势；2025年一季度成品材料收入保持增长态势，升华前材料收入因阶段性订单分布原因同比有所下降。2024年度公司控股子公司九目化学的收入主要来源于OLED升华前材料，九目化学2024年度收入增至约9.62亿元，收入再创新高，继续保持OLED升华前材料业内领先地位；2024年度公司控股子三月科技的收入主要来源于OLED成品材料和显示用PI成品材料，随着其具备知识产权的成品材料在下游应用的持续推进，三月科技2024年度收入增至约1.43亿元。九目化学与三月科技基于对行业发展及公司未来的信心，均有相应OLED材料新建项目推进，相应建设投入进展也将会在日后的半年报或年报的在建工程中体现。</w:t>
            </w:r>
          </w:p>
          <w:p w14:paraId="47222AD3">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4C8087CF">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6、问：MP公司2024年度业绩下滑的主要原因，以及MP公司一季度情况如何？</w:t>
            </w:r>
          </w:p>
          <w:p w14:paraId="2AD5DAF1">
            <w:p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答：MP公司2024年收入及利润较比2023年下降的主要原因</w:t>
            </w:r>
            <w:r>
              <w:rPr>
                <w:rFonts w:hint="eastAsia" w:ascii="宋体" w:hAnsi="宋体" w:cs="宋体"/>
                <w:sz w:val="24"/>
                <w:szCs w:val="24"/>
                <w:lang w:val="en-US" w:eastAsia="zh-CN"/>
              </w:rPr>
              <w:t>为</w:t>
            </w:r>
            <w:r>
              <w:rPr>
                <w:rFonts w:hint="eastAsia" w:ascii="宋体" w:hAnsi="宋体" w:cs="宋体"/>
                <w:kern w:val="0"/>
                <w:sz w:val="24"/>
                <w:szCs w:val="24"/>
                <w:lang w:val="en-US" w:eastAsia="zh-CN"/>
              </w:rPr>
              <w:t>海外经济增长乏力，部分下游科研机构、院校及企业需求缩减，且</w:t>
            </w:r>
            <w:r>
              <w:rPr>
                <w:rFonts w:hint="default" w:ascii="宋体" w:hAnsi="宋体" w:eastAsia="宋体" w:cs="宋体"/>
                <w:b w:val="0"/>
                <w:bCs w:val="0"/>
                <w:kern w:val="0"/>
                <w:sz w:val="24"/>
                <w:szCs w:val="24"/>
                <w:highlight w:val="none"/>
                <w:lang w:val="en-US" w:eastAsia="zh-CN"/>
              </w:rPr>
              <w:t>MP</w:t>
            </w:r>
            <w:r>
              <w:rPr>
                <w:rFonts w:hint="eastAsia" w:ascii="宋体" w:hAnsi="宋体" w:eastAsia="宋体" w:cs="宋体"/>
                <w:b w:val="0"/>
                <w:bCs w:val="0"/>
                <w:kern w:val="0"/>
                <w:sz w:val="24"/>
                <w:szCs w:val="24"/>
                <w:highlight w:val="none"/>
                <w:lang w:val="en-US" w:eastAsia="zh-CN"/>
              </w:rPr>
              <w:t>公司</w:t>
            </w:r>
            <w:r>
              <w:rPr>
                <w:rFonts w:hint="default" w:ascii="宋体" w:hAnsi="宋体" w:eastAsia="宋体" w:cs="宋体"/>
                <w:b w:val="0"/>
                <w:bCs w:val="0"/>
                <w:kern w:val="0"/>
                <w:sz w:val="24"/>
                <w:szCs w:val="24"/>
                <w:highlight w:val="none"/>
                <w:lang w:val="en-US" w:eastAsia="zh-CN"/>
              </w:rPr>
              <w:t>所处行业竞争加剧</w:t>
            </w:r>
            <w:r>
              <w:rPr>
                <w:rFonts w:hint="eastAsia" w:ascii="宋体" w:hAnsi="宋体" w:cs="宋体"/>
                <w:kern w:val="0"/>
                <w:sz w:val="24"/>
                <w:szCs w:val="24"/>
                <w:lang w:val="en-US" w:eastAsia="zh-CN"/>
              </w:rPr>
              <w:t>。</w:t>
            </w:r>
            <w:r>
              <w:rPr>
                <w:rFonts w:hint="eastAsia" w:ascii="宋体" w:hAnsi="宋体" w:eastAsia="宋体" w:cs="宋体"/>
                <w:sz w:val="24"/>
                <w:szCs w:val="24"/>
                <w:lang w:val="en-US" w:eastAsia="zh-CN"/>
              </w:rPr>
              <w:t>2025年一季度MP公司收入情况较比去年同期相对平稳</w:t>
            </w:r>
            <w:r>
              <w:rPr>
                <w:rFonts w:hint="default" w:ascii="宋体" w:hAnsi="宋体" w:eastAsia="宋体" w:cs="宋体"/>
                <w:b w:val="0"/>
                <w:bCs w:val="0"/>
                <w:kern w:val="0"/>
                <w:sz w:val="24"/>
                <w:szCs w:val="24"/>
                <w:highlight w:val="none"/>
                <w:lang w:val="en-US" w:eastAsia="zh-CN"/>
              </w:rPr>
              <w:t>。</w:t>
            </w:r>
          </w:p>
          <w:p w14:paraId="7E4580AF">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4763B68C">
            <w:pPr>
              <w:numPr>
                <w:ilvl w:val="0"/>
                <w:numId w:val="0"/>
              </w:numPr>
              <w:tabs>
                <w:tab w:val="left" w:pos="720"/>
              </w:tabs>
              <w:autoSpaceDE w:val="0"/>
              <w:autoSpaceDN w:val="0"/>
              <w:adjustRightInd w:val="0"/>
              <w:spacing w:line="360" w:lineRule="auto"/>
              <w:ind w:firstLine="482" w:firstLineChars="200"/>
              <w:rPr>
                <w:rFonts w:hint="eastAsia" w:ascii="宋体" w:hAnsi="宋体" w:eastAsia="宋体" w:cs="宋体"/>
                <w:sz w:val="24"/>
                <w:szCs w:val="24"/>
                <w:lang w:val="en-US" w:eastAsia="zh-CN"/>
              </w:rPr>
            </w:pPr>
            <w:r>
              <w:rPr>
                <w:rFonts w:hint="eastAsia" w:ascii="宋体" w:hAnsi="宋体" w:cs="宋体"/>
                <w:b/>
                <w:bCs/>
                <w:kern w:val="0"/>
                <w:sz w:val="24"/>
                <w:szCs w:val="24"/>
                <w:lang w:val="en-US" w:eastAsia="zh-CN"/>
              </w:rPr>
              <w:t>7、问：公司医药产品2024年及2025年一季度的发展态势？</w:t>
            </w:r>
          </w:p>
          <w:p w14:paraId="74F4AA0A">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答：公司2024年MP公司以外的医药产品收入约1.40亿元，较比2023年的3.26亿元有所下降，</w:t>
            </w:r>
            <w:r>
              <w:rPr>
                <w:rFonts w:hint="eastAsia" w:ascii="宋体" w:hAnsi="宋体" w:cs="宋体"/>
                <w:kern w:val="0"/>
                <w:sz w:val="24"/>
                <w:szCs w:val="24"/>
                <w:lang w:val="en-US" w:eastAsia="zh-CN"/>
              </w:rPr>
              <w:t>主</w:t>
            </w:r>
            <w:r>
              <w:rPr>
                <w:rFonts w:hint="eastAsia" w:ascii="宋体" w:hAnsi="宋体" w:eastAsia="宋体" w:cs="宋体"/>
                <w:sz w:val="24"/>
                <w:szCs w:val="24"/>
                <w:lang w:val="en-US" w:eastAsia="zh-CN"/>
              </w:rPr>
              <w:t>要是因为2023</w:t>
            </w:r>
            <w:r>
              <w:rPr>
                <w:rFonts w:hint="eastAsia" w:ascii="宋体" w:hAnsi="宋体" w:cs="宋体"/>
                <w:kern w:val="0"/>
                <w:sz w:val="24"/>
                <w:szCs w:val="24"/>
                <w:lang w:val="en-US" w:eastAsia="zh-CN"/>
              </w:rPr>
              <w:t>年阶段性需求的客户定制医药中间体产品在2024年需求变化。2025年一季度公司</w:t>
            </w:r>
            <w:r>
              <w:rPr>
                <w:rFonts w:hint="eastAsia" w:ascii="宋体" w:hAnsi="宋体" w:eastAsia="宋体" w:cs="宋体"/>
                <w:sz w:val="24"/>
                <w:szCs w:val="24"/>
                <w:lang w:val="en-US" w:eastAsia="zh-CN"/>
              </w:rPr>
              <w:t>MP以外的医药产品收入稳中有增。</w:t>
            </w:r>
          </w:p>
          <w:p w14:paraId="2ADEB70E">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p>
          <w:p w14:paraId="3883AC5A">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sz w:val="24"/>
                <w:szCs w:val="24"/>
                <w:highlight w:val="none"/>
                <w:lang w:val="en-US" w:eastAsia="zh-CN"/>
              </w:rPr>
              <w:t>8</w:t>
            </w:r>
            <w:r>
              <w:rPr>
                <w:rFonts w:hint="eastAsia" w:ascii="宋体" w:hAnsi="宋体" w:cs="宋体"/>
                <w:b/>
                <w:bCs/>
                <w:spacing w:val="0"/>
                <w:kern w:val="0"/>
                <w:sz w:val="24"/>
                <w:szCs w:val="24"/>
                <w:lang w:val="en-US" w:eastAsia="zh-CN"/>
              </w:rPr>
              <w:t>、</w:t>
            </w:r>
            <w:r>
              <w:rPr>
                <w:rFonts w:hint="eastAsia" w:ascii="宋体" w:hAnsi="宋体" w:cs="宋体"/>
                <w:b/>
                <w:bCs/>
                <w:kern w:val="0"/>
                <w:sz w:val="24"/>
                <w:szCs w:val="24"/>
                <w:lang w:val="en-US" w:eastAsia="zh-CN"/>
              </w:rPr>
              <w:t>问：2024年度及2025年一季度收入下降的主要原因。</w:t>
            </w:r>
          </w:p>
          <w:p w14:paraId="2A0E93C3">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b w:val="0"/>
                <w:bCs w:val="0"/>
                <w:kern w:val="2"/>
                <w:sz w:val="24"/>
                <w:szCs w:val="24"/>
                <w:lang w:val="en-US" w:eastAsia="zh-CN"/>
              </w:rPr>
              <w:t>公司2024年度影响收入的主要原因为</w:t>
            </w:r>
            <w:r>
              <w:rPr>
                <w:rFonts w:hint="eastAsia" w:ascii="宋体" w:hAnsi="宋体" w:eastAsia="宋体" w:cs="宋体"/>
                <w:kern w:val="2"/>
                <w:sz w:val="24"/>
                <w:szCs w:val="24"/>
                <w:lang w:val="en-US" w:eastAsia="zh-CN"/>
              </w:rPr>
              <w:t>沸石系列环保材料业务及医药业务下游需求减少，</w:t>
            </w:r>
            <w:r>
              <w:rPr>
                <w:rFonts w:hint="eastAsia" w:ascii="宋体" w:hAnsi="宋体" w:eastAsia="宋体" w:cs="宋体"/>
                <w:b w:val="0"/>
                <w:bCs w:val="0"/>
                <w:kern w:val="2"/>
                <w:sz w:val="24"/>
                <w:szCs w:val="24"/>
                <w:lang w:val="en-US" w:eastAsia="zh-CN"/>
              </w:rPr>
              <w:t>2025年一季度收入下降的主要原因</w:t>
            </w:r>
            <w:r>
              <w:rPr>
                <w:rFonts w:hint="eastAsia" w:ascii="宋体" w:hAnsi="宋体" w:cs="宋体"/>
                <w:b w:val="0"/>
                <w:bCs w:val="0"/>
                <w:kern w:val="2"/>
                <w:sz w:val="24"/>
                <w:szCs w:val="24"/>
                <w:lang w:val="en-US" w:eastAsia="zh-CN"/>
              </w:rPr>
              <w:t>为</w:t>
            </w:r>
            <w:r>
              <w:rPr>
                <w:rFonts w:hint="eastAsia" w:ascii="宋体" w:hAnsi="宋体" w:eastAsia="宋体" w:cs="宋体"/>
                <w:kern w:val="2"/>
                <w:sz w:val="24"/>
                <w:szCs w:val="24"/>
                <w:lang w:val="en-US" w:eastAsia="zh-CN"/>
              </w:rPr>
              <w:t>沸石系列环保材料业务下游需求减少。</w:t>
            </w:r>
          </w:p>
          <w:p w14:paraId="73C4B218">
            <w:pPr>
              <w:numPr>
                <w:ilvl w:val="0"/>
                <w:numId w:val="0"/>
              </w:numPr>
              <w:tabs>
                <w:tab w:val="left" w:pos="720"/>
              </w:tabs>
              <w:overflowPunct/>
              <w:autoSpaceDE w:val="0"/>
              <w:autoSpaceDN w:val="0"/>
              <w:adjustRightInd w:val="0"/>
              <w:spacing w:beforeLines="-2147483648" w:line="360" w:lineRule="auto"/>
              <w:ind w:firstLine="480" w:firstLineChars="200"/>
              <w:outlineLvl w:val="9"/>
              <w:rPr>
                <w:rFonts w:hint="eastAsia" w:ascii="Times New Roman" w:hAnsi="Times New Roman" w:eastAsia="宋体" w:cs="Times New Roman"/>
                <w:b w:val="0"/>
                <w:bCs w:val="0"/>
                <w:color w:val="000000"/>
                <w:kern w:val="0"/>
                <w:sz w:val="24"/>
                <w:szCs w:val="21"/>
                <w:lang w:val="en-US" w:eastAsia="zh-CN"/>
              </w:rPr>
            </w:pPr>
            <w:r>
              <w:rPr>
                <w:rFonts w:hint="eastAsia" w:ascii="宋体" w:hAnsi="宋体" w:eastAsia="宋体" w:cs="宋体"/>
                <w:kern w:val="2"/>
                <w:sz w:val="24"/>
                <w:szCs w:val="24"/>
                <w:lang w:val="en-US" w:eastAsia="zh-CN"/>
              </w:rPr>
              <w:t>为应对沸石系列环保材料下游需求的变化，公司一</w:t>
            </w:r>
            <w:r>
              <w:rPr>
                <w:rFonts w:hint="eastAsia" w:ascii="宋体" w:hAnsi="宋体" w:eastAsia="宋体" w:cs="宋体"/>
                <w:sz w:val="24"/>
                <w:szCs w:val="24"/>
                <w:lang w:val="en-US" w:eastAsia="zh-CN"/>
              </w:rPr>
              <w:t>方面积极开发</w:t>
            </w:r>
            <w:r>
              <w:rPr>
                <w:rFonts w:hint="eastAsia" w:ascii="宋体" w:hAnsi="宋体" w:eastAsia="宋体" w:cs="宋体"/>
                <w:kern w:val="2"/>
                <w:sz w:val="24"/>
                <w:szCs w:val="24"/>
                <w:lang w:val="en-US" w:eastAsia="zh-CN"/>
              </w:rPr>
              <w:t>欧七及同级别标准的下一代</w:t>
            </w:r>
            <w:r>
              <w:rPr>
                <w:rFonts w:hint="eastAsia" w:ascii="宋体" w:hAnsi="宋体" w:eastAsia="宋体" w:cs="宋体"/>
                <w:b w:val="0"/>
                <w:bCs w:val="0"/>
                <w:kern w:val="2"/>
                <w:sz w:val="24"/>
                <w:szCs w:val="24"/>
                <w:lang w:val="en-US" w:eastAsia="zh-CN"/>
              </w:rPr>
              <w:t>沸石系列环保材料，并持续推进</w:t>
            </w:r>
            <w:r>
              <w:rPr>
                <w:rFonts w:hint="eastAsia" w:ascii="宋体" w:hAnsi="宋体" w:eastAsia="宋体" w:cs="宋体"/>
                <w:kern w:val="2"/>
                <w:sz w:val="24"/>
                <w:szCs w:val="24"/>
                <w:lang w:val="en-US" w:eastAsia="zh-CN"/>
              </w:rPr>
              <w:t>改进、优化和验证工作，期待未来公司在车用</w:t>
            </w:r>
            <w:r>
              <w:rPr>
                <w:rFonts w:hint="eastAsia" w:ascii="宋体" w:hAnsi="宋体" w:eastAsia="宋体" w:cs="宋体"/>
                <w:b w:val="0"/>
                <w:bCs w:val="0"/>
                <w:kern w:val="2"/>
                <w:sz w:val="24"/>
                <w:szCs w:val="24"/>
                <w:lang w:val="en-US" w:eastAsia="zh-CN"/>
              </w:rPr>
              <w:t>沸石领域</w:t>
            </w:r>
            <w:r>
              <w:rPr>
                <w:rFonts w:hint="eastAsia" w:ascii="宋体" w:hAnsi="宋体" w:eastAsia="宋体" w:cs="宋体"/>
                <w:kern w:val="2"/>
                <w:sz w:val="24"/>
                <w:szCs w:val="24"/>
                <w:lang w:val="en-US" w:eastAsia="zh-CN"/>
              </w:rPr>
              <w:t>的市场地位能够随之进一步稳固及提升。另一方面公司通过与</w:t>
            </w:r>
            <w:r>
              <w:rPr>
                <w:rFonts w:hint="eastAsia" w:ascii="Times New Roman" w:hAnsi="Times New Roman" w:eastAsia="宋体" w:cs="Times New Roman"/>
                <w:color w:val="000000"/>
                <w:kern w:val="0"/>
                <w:sz w:val="24"/>
                <w:szCs w:val="21"/>
                <w:lang w:val="en-US" w:eastAsia="zh-CN" w:bidi="ar-SA"/>
              </w:rPr>
              <w:t>中国石化催化剂有限公司等业内优质企业加深合作，</w:t>
            </w:r>
            <w:r>
              <w:rPr>
                <w:rFonts w:hint="eastAsia" w:ascii="宋体" w:hAnsi="宋体" w:eastAsia="宋体" w:cs="宋体"/>
                <w:kern w:val="2"/>
                <w:sz w:val="24"/>
                <w:szCs w:val="24"/>
                <w:lang w:val="en-US" w:eastAsia="zh-CN"/>
              </w:rPr>
              <w:t>积极推广公司石油化工催化领域的沸石分子筛产品。</w:t>
            </w:r>
          </w:p>
          <w:p w14:paraId="04703298">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p>
          <w:p w14:paraId="2CE6AB13">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9、问：公司在新能源材料方面主要有哪些进展？</w:t>
            </w:r>
          </w:p>
          <w:p w14:paraId="4A36A39E">
            <w:pPr>
              <w:numPr>
                <w:ilvl w:val="0"/>
                <w:numId w:val="0"/>
              </w:numPr>
              <w:tabs>
                <w:tab w:val="left" w:pos="720"/>
              </w:tabs>
              <w:autoSpaceDE/>
              <w:autoSpaceDN/>
              <w:adjustRightIn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答：2024年以来，公司</w:t>
            </w:r>
            <w:r>
              <w:rPr>
                <w:rFonts w:hint="eastAsia" w:ascii="宋体" w:hAnsi="宋体" w:cs="宋体"/>
                <w:kern w:val="0"/>
                <w:sz w:val="24"/>
                <w:szCs w:val="24"/>
                <w:lang w:val="en-US" w:eastAsia="zh-CN"/>
              </w:rPr>
              <w:t>持续推进</w:t>
            </w:r>
            <w:r>
              <w:rPr>
                <w:rFonts w:hint="eastAsia" w:ascii="宋体" w:hAnsi="宋体" w:eastAsia="宋体" w:cs="宋体"/>
                <w:kern w:val="0"/>
                <w:sz w:val="24"/>
                <w:szCs w:val="24"/>
                <w:lang w:val="en-US" w:eastAsia="zh-CN"/>
              </w:rPr>
              <w:t>钙钛矿光伏材料开发，也在配合下游客户开发新品。就目前情况来看该领域下游</w:t>
            </w:r>
            <w:r>
              <w:rPr>
                <w:rFonts w:hint="eastAsia" w:ascii="宋体" w:hAnsi="宋体" w:cs="宋体"/>
                <w:kern w:val="0"/>
                <w:sz w:val="24"/>
                <w:szCs w:val="24"/>
                <w:lang w:val="en-US" w:eastAsia="zh-CN"/>
              </w:rPr>
              <w:t>多数钙钛矿光伏组件企业仍处于产品开发及效率、寿命等关键性能优化的阶段，我们会保持好对行业的跟踪以及对下游客户的配合；另外公司</w:t>
            </w:r>
            <w:r>
              <w:rPr>
                <w:rFonts w:hint="eastAsia" w:ascii="宋体" w:hAnsi="宋体" w:eastAsia="宋体" w:cs="宋体"/>
                <w:sz w:val="24"/>
                <w:szCs w:val="24"/>
                <w:lang w:val="en-US" w:eastAsia="zh-CN"/>
              </w:rPr>
              <w:t>也在推进钙钛矿光伏胶膜的开发及验证工作；在氢燃料电池质子膜材料方面，公司控股子公司九目化学无氟质子膜材料的中试产品持续向下游销售，下游目前主要应用在材料成膜开发、性能验证及推广方面。</w:t>
            </w:r>
          </w:p>
          <w:p w14:paraId="5DC5FB60">
            <w:pPr>
              <w:numPr>
                <w:ilvl w:val="0"/>
                <w:numId w:val="0"/>
              </w:numPr>
              <w:tabs>
                <w:tab w:val="left" w:pos="720"/>
              </w:tabs>
              <w:autoSpaceDE w:val="0"/>
              <w:autoSpaceDN w:val="0"/>
              <w:adjustRightInd w:val="0"/>
              <w:spacing w:line="360" w:lineRule="auto"/>
              <w:ind w:firstLine="420" w:firstLineChars="200"/>
              <w:rPr>
                <w:rFonts w:hint="eastAsia"/>
                <w:lang w:val="en-US" w:eastAsia="zh-CN"/>
              </w:rPr>
            </w:pPr>
          </w:p>
          <w:p w14:paraId="1A0A7012">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10、问：公司液晶单体材料2024年及近期的情况如何？</w:t>
            </w:r>
          </w:p>
          <w:p w14:paraId="5FB3C1F5">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公司液晶材料业务在2024年度受下游混晶客户对公司产品的需求变化影响，收入金额较比2023年度略有下降；2025年一季度较比去年同期相对稳定。后续市场情况主要与下游</w:t>
            </w:r>
            <w:r>
              <w:rPr>
                <w:rFonts w:ascii="宋体" w:hAnsi="宋体" w:eastAsia="宋体" w:cs="宋体"/>
                <w:sz w:val="24"/>
                <w:szCs w:val="24"/>
              </w:rPr>
              <w:t>终端</w:t>
            </w:r>
            <w:r>
              <w:rPr>
                <w:rFonts w:hint="eastAsia" w:ascii="宋体" w:hAnsi="宋体" w:eastAsia="宋体" w:cs="宋体"/>
                <w:sz w:val="24"/>
                <w:szCs w:val="24"/>
                <w:lang w:eastAsia="zh-CN"/>
              </w:rPr>
              <w:t>中大尺寸显示</w:t>
            </w:r>
            <w:r>
              <w:rPr>
                <w:rFonts w:ascii="宋体" w:hAnsi="宋体" w:eastAsia="宋体" w:cs="宋体"/>
                <w:sz w:val="24"/>
                <w:szCs w:val="24"/>
              </w:rPr>
              <w:t>消费</w:t>
            </w:r>
            <w:r>
              <w:rPr>
                <w:rFonts w:hint="eastAsia" w:ascii="宋体" w:hAnsi="宋体" w:eastAsia="宋体" w:cs="宋体"/>
                <w:kern w:val="0"/>
                <w:sz w:val="24"/>
                <w:szCs w:val="24"/>
                <w:lang w:val="en-US" w:eastAsia="zh-CN"/>
              </w:rPr>
              <w:t>需求情况及混晶与面板销售情况等下游市场因素相关。</w:t>
            </w:r>
          </w:p>
          <w:p w14:paraId="099741EC">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lang w:val="en-US" w:eastAsia="zh-CN"/>
              </w:rPr>
            </w:pPr>
          </w:p>
          <w:p w14:paraId="31EF854D">
            <w:pPr>
              <w:numPr>
                <w:ilvl w:val="0"/>
                <w:numId w:val="0"/>
              </w:numPr>
              <w:tabs>
                <w:tab w:val="left" w:pos="720"/>
              </w:tabs>
              <w:autoSpaceDE w:val="0"/>
              <w:autoSpaceDN w:val="0"/>
              <w:adjustRightInd w:val="0"/>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11、问：鲁银投资增持情况如何？</w:t>
            </w:r>
          </w:p>
          <w:p w14:paraId="47D33586">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kern w:val="0"/>
                <w:sz w:val="24"/>
                <w:szCs w:val="24"/>
                <w:highlight w:val="none"/>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2"/>
                <w:sz w:val="24"/>
                <w:szCs w:val="24"/>
                <w:lang w:val="en-US" w:eastAsia="zh-CN"/>
              </w:rPr>
              <w:t>鲁银投资增持正在实施中，</w:t>
            </w:r>
            <w:r>
              <w:rPr>
                <w:rFonts w:hint="eastAsia" w:ascii="宋体" w:hAnsi="宋体" w:eastAsia="宋体" w:cs="宋体"/>
                <w:sz w:val="24"/>
                <w:szCs w:val="24"/>
                <w:lang w:val="en-US" w:eastAsia="zh-CN"/>
              </w:rPr>
              <w:t>2</w:t>
            </w:r>
            <w:r>
              <w:rPr>
                <w:rFonts w:hint="eastAsia" w:ascii="宋体" w:hAnsi="宋体" w:eastAsia="宋体" w:cs="宋体"/>
                <w:kern w:val="2"/>
                <w:sz w:val="24"/>
                <w:szCs w:val="24"/>
                <w:highlight w:val="none"/>
                <w:lang w:val="en-US" w:eastAsia="zh-CN"/>
              </w:rPr>
              <w:t>025年3月18日至2025年4月3日，</w:t>
            </w:r>
            <w:r>
              <w:rPr>
                <w:rFonts w:hint="eastAsia" w:ascii="宋体" w:hAnsi="宋体" w:eastAsia="宋体" w:cs="宋体"/>
                <w:kern w:val="2"/>
                <w:sz w:val="24"/>
                <w:szCs w:val="24"/>
                <w:lang w:val="en-US" w:eastAsia="zh-CN"/>
              </w:rPr>
              <w:t>已经</w:t>
            </w:r>
            <w:r>
              <w:rPr>
                <w:rFonts w:hint="eastAsia" w:ascii="宋体" w:hAnsi="宋体" w:eastAsia="宋体" w:cs="宋体"/>
                <w:kern w:val="2"/>
                <w:sz w:val="24"/>
                <w:szCs w:val="24"/>
                <w:highlight w:val="none"/>
                <w:lang w:val="en-US" w:eastAsia="zh-CN"/>
              </w:rPr>
              <w:t>累计增持公司股份7,778,658股</w:t>
            </w:r>
            <w:r>
              <w:rPr>
                <w:rFonts w:hint="eastAsia" w:ascii="宋体" w:hAnsi="宋体" w:eastAsia="宋体" w:cs="宋体"/>
                <w:kern w:val="2"/>
                <w:sz w:val="24"/>
                <w:szCs w:val="24"/>
                <w:lang w:val="en-US" w:eastAsia="zh-CN"/>
              </w:rPr>
              <w:t>。</w:t>
            </w:r>
            <w:r>
              <w:rPr>
                <w:rFonts w:hint="eastAsia" w:ascii="Times New Roman" w:hAnsi="Times New Roman" w:cs="Times New Roman"/>
                <w:kern w:val="0"/>
                <w:sz w:val="24"/>
                <w:szCs w:val="24"/>
                <w:highlight w:val="none"/>
                <w:lang w:val="en-US" w:eastAsia="zh-CN"/>
              </w:rPr>
              <w:t>截至</w:t>
            </w:r>
            <w:r>
              <w:rPr>
                <w:rFonts w:hint="eastAsia" w:ascii="宋体" w:hAnsi="宋体" w:cs="宋体"/>
                <w:kern w:val="2"/>
                <w:sz w:val="24"/>
                <w:szCs w:val="24"/>
                <w:highlight w:val="none"/>
                <w:lang w:val="en-US" w:eastAsia="zh-CN"/>
              </w:rPr>
              <w:t>2025年4月3日收盘，</w:t>
            </w:r>
            <w:r>
              <w:rPr>
                <w:rFonts w:hint="eastAsia" w:ascii="宋体" w:hAnsi="宋体" w:eastAsia="宋体" w:cs="宋体"/>
                <w:kern w:val="2"/>
                <w:sz w:val="24"/>
                <w:szCs w:val="24"/>
                <w:highlight w:val="none"/>
                <w:lang w:val="en-US" w:eastAsia="zh-CN"/>
              </w:rPr>
              <w:t>鲁银投资及其一致行动人合计持有公司股份102</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320</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195股，占公司当</w:t>
            </w:r>
            <w:r>
              <w:rPr>
                <w:rFonts w:hint="eastAsia" w:ascii="宋体" w:hAnsi="宋体" w:cs="宋体"/>
                <w:kern w:val="2"/>
                <w:sz w:val="24"/>
                <w:szCs w:val="24"/>
                <w:highlight w:val="none"/>
                <w:lang w:val="en-US" w:eastAsia="zh-CN"/>
              </w:rPr>
              <w:t>前</w:t>
            </w:r>
            <w:r>
              <w:rPr>
                <w:rFonts w:hint="eastAsia" w:ascii="宋体" w:hAnsi="宋体" w:eastAsia="宋体" w:cs="宋体"/>
                <w:kern w:val="2"/>
                <w:sz w:val="24"/>
                <w:szCs w:val="24"/>
                <w:highlight w:val="none"/>
                <w:lang w:val="en-US" w:eastAsia="zh-CN"/>
              </w:rPr>
              <w:t>总股本的11.0025%。公司会持</w:t>
            </w:r>
            <w:r>
              <w:rPr>
                <w:rFonts w:hint="eastAsia" w:ascii="宋体" w:hAnsi="宋体" w:eastAsia="宋体" w:cs="宋体"/>
                <w:sz w:val="24"/>
                <w:szCs w:val="24"/>
                <w:highlight w:val="none"/>
                <w:lang w:val="en-US" w:eastAsia="zh-CN"/>
              </w:rPr>
              <w:t>续关注增持情况，及时按照</w:t>
            </w:r>
            <w:r>
              <w:rPr>
                <w:rFonts w:hint="eastAsia" w:ascii="Times New Roman" w:hAnsi="Times New Roman" w:eastAsia="宋体" w:cs="Times New Roman"/>
                <w:sz w:val="24"/>
                <w:szCs w:val="24"/>
                <w:highlight w:val="none"/>
                <w:lang w:val="en-US" w:eastAsia="zh-CN"/>
              </w:rPr>
              <w:t>规定通过公告</w:t>
            </w:r>
            <w:r>
              <w:rPr>
                <w:rFonts w:hint="default" w:ascii="Times New Roman" w:hAnsi="Times New Roman" w:eastAsia="宋体" w:cs="Times New Roman"/>
                <w:sz w:val="24"/>
                <w:szCs w:val="24"/>
                <w:highlight w:val="none"/>
                <w:lang w:val="en-US" w:eastAsia="zh-CN"/>
              </w:rPr>
              <w:t>履行信息披露义务。</w:t>
            </w:r>
            <w:bookmarkStart w:id="0" w:name="_GoBack"/>
            <w:bookmarkEnd w:id="0"/>
          </w:p>
        </w:tc>
      </w:tr>
      <w:tr w14:paraId="7EBC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7C1BADC4">
            <w:pPr>
              <w:spacing w:line="480" w:lineRule="atLeast"/>
              <w:rPr>
                <w:rFonts w:ascii="宋体"/>
                <w:color w:val="000000"/>
                <w:kern w:val="0"/>
                <w:sz w:val="24"/>
                <w:szCs w:val="24"/>
              </w:rPr>
            </w:pPr>
            <w:r>
              <w:rPr>
                <w:rFonts w:hint="eastAsia" w:ascii="仿宋" w:hAnsi="仿宋"/>
                <w:bCs/>
                <w:iCs/>
                <w:color w:val="000000"/>
                <w:sz w:val="24"/>
                <w:szCs w:val="24"/>
              </w:rPr>
              <w:t>关于本次活动是否涉及应披露重大信息的说明</w:t>
            </w:r>
          </w:p>
        </w:tc>
        <w:tc>
          <w:tcPr>
            <w:tcW w:w="7800" w:type="dxa"/>
            <w:gridSpan w:val="2"/>
            <w:tcBorders>
              <w:top w:val="single" w:color="auto" w:sz="4" w:space="0"/>
              <w:left w:val="single" w:color="auto" w:sz="4" w:space="0"/>
              <w:bottom w:val="single" w:color="auto" w:sz="4" w:space="0"/>
              <w:right w:val="single" w:color="auto" w:sz="4" w:space="0"/>
            </w:tcBorders>
            <w:noWrap w:val="0"/>
            <w:vAlign w:val="center"/>
          </w:tcPr>
          <w:p w14:paraId="728C686D">
            <w:pPr>
              <w:spacing w:line="480" w:lineRule="atLeast"/>
              <w:jc w:val="both"/>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14:paraId="46D5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078787CE">
            <w:pPr>
              <w:spacing w:line="480" w:lineRule="atLeast"/>
              <w:rPr>
                <w:rFonts w:ascii="宋体"/>
                <w:color w:val="000000"/>
                <w:kern w:val="0"/>
                <w:sz w:val="24"/>
                <w:szCs w:val="24"/>
              </w:rPr>
            </w:pPr>
            <w:r>
              <w:rPr>
                <w:rFonts w:hint="eastAsia" w:ascii="仿宋" w:hAnsi="仿宋"/>
                <w:bCs/>
                <w:iCs/>
                <w:color w:val="000000"/>
                <w:sz w:val="24"/>
                <w:szCs w:val="24"/>
              </w:rPr>
              <w:t>活动过程中所使用的演示文稿、提供的文档等附件（如有，可作为附件）</w:t>
            </w:r>
          </w:p>
        </w:tc>
        <w:tc>
          <w:tcPr>
            <w:tcW w:w="7800" w:type="dxa"/>
            <w:gridSpan w:val="2"/>
            <w:tcBorders>
              <w:top w:val="single" w:color="auto" w:sz="4" w:space="0"/>
              <w:left w:val="single" w:color="auto" w:sz="4" w:space="0"/>
              <w:bottom w:val="single" w:color="auto" w:sz="4" w:space="0"/>
              <w:right w:val="single" w:color="auto" w:sz="4" w:space="0"/>
            </w:tcBorders>
            <w:noWrap w:val="0"/>
            <w:vAlign w:val="center"/>
          </w:tcPr>
          <w:p w14:paraId="3079812B">
            <w:pPr>
              <w:spacing w:line="480" w:lineRule="atLeast"/>
              <w:jc w:val="both"/>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tc>
      </w:tr>
    </w:tbl>
    <w:p w14:paraId="256615D3">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7D3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4F331">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2664F331">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72D22"/>
    <w:multiLevelType w:val="singleLevel"/>
    <w:tmpl w:val="DB972D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YTY1MDhjYTc2NWQ5Yjg5OTA3MDQ1YmQ0MWRiOTA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0E14"/>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4A0E"/>
    <w:rsid w:val="004F598A"/>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9A7F0B"/>
    <w:rsid w:val="027007F3"/>
    <w:rsid w:val="02730BE3"/>
    <w:rsid w:val="02BD2550"/>
    <w:rsid w:val="02C6508F"/>
    <w:rsid w:val="02C728F6"/>
    <w:rsid w:val="030113F5"/>
    <w:rsid w:val="0318285A"/>
    <w:rsid w:val="03D81701"/>
    <w:rsid w:val="03F8160E"/>
    <w:rsid w:val="04A06BF0"/>
    <w:rsid w:val="04A70FD3"/>
    <w:rsid w:val="04E95920"/>
    <w:rsid w:val="051A2E33"/>
    <w:rsid w:val="051C3215"/>
    <w:rsid w:val="05334557"/>
    <w:rsid w:val="053F5429"/>
    <w:rsid w:val="05943EFC"/>
    <w:rsid w:val="061A2449"/>
    <w:rsid w:val="06641C6D"/>
    <w:rsid w:val="067508F8"/>
    <w:rsid w:val="06F42B68"/>
    <w:rsid w:val="070B6B66"/>
    <w:rsid w:val="07850651"/>
    <w:rsid w:val="07BD6D34"/>
    <w:rsid w:val="07EA49A8"/>
    <w:rsid w:val="08032A5C"/>
    <w:rsid w:val="083B23D6"/>
    <w:rsid w:val="085F0EEA"/>
    <w:rsid w:val="0884564C"/>
    <w:rsid w:val="08DB1887"/>
    <w:rsid w:val="09666E67"/>
    <w:rsid w:val="09DF1D71"/>
    <w:rsid w:val="0A1A2704"/>
    <w:rsid w:val="0A2D1021"/>
    <w:rsid w:val="0A86681F"/>
    <w:rsid w:val="0A990829"/>
    <w:rsid w:val="0B0F3C25"/>
    <w:rsid w:val="0B216959"/>
    <w:rsid w:val="0B245255"/>
    <w:rsid w:val="0B6977BE"/>
    <w:rsid w:val="0B926E53"/>
    <w:rsid w:val="0BC612CA"/>
    <w:rsid w:val="0BEE077E"/>
    <w:rsid w:val="0C6F00E5"/>
    <w:rsid w:val="0CA13776"/>
    <w:rsid w:val="0CAA75A8"/>
    <w:rsid w:val="0CB25CDE"/>
    <w:rsid w:val="0CD05AA6"/>
    <w:rsid w:val="0CFE21F2"/>
    <w:rsid w:val="0D356F4B"/>
    <w:rsid w:val="0D5E4FFE"/>
    <w:rsid w:val="0D600FCF"/>
    <w:rsid w:val="0D791CFB"/>
    <w:rsid w:val="0DBC53BA"/>
    <w:rsid w:val="0DCD3CC1"/>
    <w:rsid w:val="0DEF454B"/>
    <w:rsid w:val="0DF85745"/>
    <w:rsid w:val="0E324052"/>
    <w:rsid w:val="0E3512E5"/>
    <w:rsid w:val="0E3E70D4"/>
    <w:rsid w:val="0E6B1369"/>
    <w:rsid w:val="0E757887"/>
    <w:rsid w:val="0E857AB1"/>
    <w:rsid w:val="0E8D1A19"/>
    <w:rsid w:val="0E9234E0"/>
    <w:rsid w:val="0EA72EE5"/>
    <w:rsid w:val="0EE26BBA"/>
    <w:rsid w:val="0EF41453"/>
    <w:rsid w:val="0F3D74C3"/>
    <w:rsid w:val="0FA514BA"/>
    <w:rsid w:val="0FD96623"/>
    <w:rsid w:val="0FE07621"/>
    <w:rsid w:val="1036507E"/>
    <w:rsid w:val="104D3A38"/>
    <w:rsid w:val="10553E29"/>
    <w:rsid w:val="1066544B"/>
    <w:rsid w:val="109E0DDB"/>
    <w:rsid w:val="10C6568F"/>
    <w:rsid w:val="10DA2114"/>
    <w:rsid w:val="10F8145A"/>
    <w:rsid w:val="11144B04"/>
    <w:rsid w:val="11276A50"/>
    <w:rsid w:val="114C42DF"/>
    <w:rsid w:val="1154294C"/>
    <w:rsid w:val="11550ABC"/>
    <w:rsid w:val="11694426"/>
    <w:rsid w:val="11755EC9"/>
    <w:rsid w:val="119412AA"/>
    <w:rsid w:val="11DA5C9E"/>
    <w:rsid w:val="11E61258"/>
    <w:rsid w:val="124A2743"/>
    <w:rsid w:val="1256088A"/>
    <w:rsid w:val="12A70B6F"/>
    <w:rsid w:val="12EA5A64"/>
    <w:rsid w:val="13324B0D"/>
    <w:rsid w:val="133D2352"/>
    <w:rsid w:val="137210FB"/>
    <w:rsid w:val="139A4DEB"/>
    <w:rsid w:val="139D6C77"/>
    <w:rsid w:val="13A147D1"/>
    <w:rsid w:val="1402620C"/>
    <w:rsid w:val="1452382D"/>
    <w:rsid w:val="14981F8C"/>
    <w:rsid w:val="14BA2ABB"/>
    <w:rsid w:val="14D52A43"/>
    <w:rsid w:val="14EA3162"/>
    <w:rsid w:val="14EE3DF9"/>
    <w:rsid w:val="15347683"/>
    <w:rsid w:val="153C4D6C"/>
    <w:rsid w:val="15520505"/>
    <w:rsid w:val="156A0E75"/>
    <w:rsid w:val="156B2323"/>
    <w:rsid w:val="157F4A2C"/>
    <w:rsid w:val="15B463D1"/>
    <w:rsid w:val="15DF7350"/>
    <w:rsid w:val="161E0F3C"/>
    <w:rsid w:val="16372730"/>
    <w:rsid w:val="1672048A"/>
    <w:rsid w:val="16E017E8"/>
    <w:rsid w:val="171D25CE"/>
    <w:rsid w:val="172412C5"/>
    <w:rsid w:val="17317127"/>
    <w:rsid w:val="173F3534"/>
    <w:rsid w:val="1783099B"/>
    <w:rsid w:val="17D453EA"/>
    <w:rsid w:val="17E50678"/>
    <w:rsid w:val="180A4EC7"/>
    <w:rsid w:val="182131B0"/>
    <w:rsid w:val="18323CD2"/>
    <w:rsid w:val="188F52D8"/>
    <w:rsid w:val="191E4CF6"/>
    <w:rsid w:val="192B4E46"/>
    <w:rsid w:val="192C1EF2"/>
    <w:rsid w:val="1932639B"/>
    <w:rsid w:val="19A94011"/>
    <w:rsid w:val="19DF5378"/>
    <w:rsid w:val="1A1F1F70"/>
    <w:rsid w:val="1A2F1532"/>
    <w:rsid w:val="1A3D3083"/>
    <w:rsid w:val="1A3F6A06"/>
    <w:rsid w:val="1A7D6DE0"/>
    <w:rsid w:val="1A825539"/>
    <w:rsid w:val="1A9912AA"/>
    <w:rsid w:val="1AAE2DE5"/>
    <w:rsid w:val="1AC560CD"/>
    <w:rsid w:val="1AE24A3B"/>
    <w:rsid w:val="1B214C6B"/>
    <w:rsid w:val="1B316D83"/>
    <w:rsid w:val="1B356DB6"/>
    <w:rsid w:val="1B8C2F7C"/>
    <w:rsid w:val="1B943F24"/>
    <w:rsid w:val="1BC122E2"/>
    <w:rsid w:val="1BC57FBA"/>
    <w:rsid w:val="1C085966"/>
    <w:rsid w:val="1C135E39"/>
    <w:rsid w:val="1C290DB4"/>
    <w:rsid w:val="1C47643B"/>
    <w:rsid w:val="1C546ABE"/>
    <w:rsid w:val="1CAE1218"/>
    <w:rsid w:val="1CB304A3"/>
    <w:rsid w:val="1D103198"/>
    <w:rsid w:val="1D2321EC"/>
    <w:rsid w:val="1D5B621C"/>
    <w:rsid w:val="1D7031FC"/>
    <w:rsid w:val="1DA90758"/>
    <w:rsid w:val="1DD12BE8"/>
    <w:rsid w:val="1DE91751"/>
    <w:rsid w:val="1DF84E52"/>
    <w:rsid w:val="1E0A1364"/>
    <w:rsid w:val="1E213337"/>
    <w:rsid w:val="1E303A22"/>
    <w:rsid w:val="1E4D7D1B"/>
    <w:rsid w:val="1E51771F"/>
    <w:rsid w:val="1E5C39AD"/>
    <w:rsid w:val="1E7352C5"/>
    <w:rsid w:val="1F2F21D1"/>
    <w:rsid w:val="1F3500CC"/>
    <w:rsid w:val="1F365B58"/>
    <w:rsid w:val="1FE25607"/>
    <w:rsid w:val="1FEC380D"/>
    <w:rsid w:val="1FF42923"/>
    <w:rsid w:val="200945ED"/>
    <w:rsid w:val="20121518"/>
    <w:rsid w:val="20373B5B"/>
    <w:rsid w:val="20505AC4"/>
    <w:rsid w:val="20862701"/>
    <w:rsid w:val="20EE356F"/>
    <w:rsid w:val="212E0344"/>
    <w:rsid w:val="213728EF"/>
    <w:rsid w:val="215E6D8B"/>
    <w:rsid w:val="217A6760"/>
    <w:rsid w:val="21933ED0"/>
    <w:rsid w:val="21A06A9E"/>
    <w:rsid w:val="21C06A96"/>
    <w:rsid w:val="21FD4A41"/>
    <w:rsid w:val="22513605"/>
    <w:rsid w:val="225622DF"/>
    <w:rsid w:val="225C2CF9"/>
    <w:rsid w:val="22C439C0"/>
    <w:rsid w:val="22D74270"/>
    <w:rsid w:val="230307BE"/>
    <w:rsid w:val="23134566"/>
    <w:rsid w:val="23571023"/>
    <w:rsid w:val="236A5D28"/>
    <w:rsid w:val="236C13D9"/>
    <w:rsid w:val="237E1DAD"/>
    <w:rsid w:val="23AA0D33"/>
    <w:rsid w:val="23BF51D1"/>
    <w:rsid w:val="23F66FF6"/>
    <w:rsid w:val="24472ACE"/>
    <w:rsid w:val="24512A14"/>
    <w:rsid w:val="248D4283"/>
    <w:rsid w:val="24E355AC"/>
    <w:rsid w:val="250A56A8"/>
    <w:rsid w:val="251D48C1"/>
    <w:rsid w:val="25344AF2"/>
    <w:rsid w:val="25A93834"/>
    <w:rsid w:val="25BE3EA6"/>
    <w:rsid w:val="25CF26C5"/>
    <w:rsid w:val="260A0D42"/>
    <w:rsid w:val="26145057"/>
    <w:rsid w:val="262D1324"/>
    <w:rsid w:val="26331896"/>
    <w:rsid w:val="26373D44"/>
    <w:rsid w:val="267047E0"/>
    <w:rsid w:val="267B0D5C"/>
    <w:rsid w:val="26F45667"/>
    <w:rsid w:val="274D3FF5"/>
    <w:rsid w:val="27783593"/>
    <w:rsid w:val="27865728"/>
    <w:rsid w:val="279735E4"/>
    <w:rsid w:val="27C60B5C"/>
    <w:rsid w:val="282553C1"/>
    <w:rsid w:val="28E5500B"/>
    <w:rsid w:val="294735A4"/>
    <w:rsid w:val="29A42C9B"/>
    <w:rsid w:val="29D73847"/>
    <w:rsid w:val="29E125D8"/>
    <w:rsid w:val="2A0F1568"/>
    <w:rsid w:val="2A167B7D"/>
    <w:rsid w:val="2A2B593B"/>
    <w:rsid w:val="2A312225"/>
    <w:rsid w:val="2AB11139"/>
    <w:rsid w:val="2B022A53"/>
    <w:rsid w:val="2B0701C0"/>
    <w:rsid w:val="2B1A2428"/>
    <w:rsid w:val="2B1A5AD2"/>
    <w:rsid w:val="2B7A34E5"/>
    <w:rsid w:val="2B8E6D38"/>
    <w:rsid w:val="2B9A04A5"/>
    <w:rsid w:val="2BB721D6"/>
    <w:rsid w:val="2BC56137"/>
    <w:rsid w:val="2BF01901"/>
    <w:rsid w:val="2C074DC9"/>
    <w:rsid w:val="2C71470E"/>
    <w:rsid w:val="2CB5169A"/>
    <w:rsid w:val="2CC57E91"/>
    <w:rsid w:val="2CF663C7"/>
    <w:rsid w:val="2D197BD1"/>
    <w:rsid w:val="2D483CEA"/>
    <w:rsid w:val="2D63690A"/>
    <w:rsid w:val="2DB86270"/>
    <w:rsid w:val="2E0E3A53"/>
    <w:rsid w:val="2E4E396D"/>
    <w:rsid w:val="2E843077"/>
    <w:rsid w:val="2E88523B"/>
    <w:rsid w:val="2E9118B4"/>
    <w:rsid w:val="2ED24D92"/>
    <w:rsid w:val="2F123238"/>
    <w:rsid w:val="2F1D72A2"/>
    <w:rsid w:val="2F2C0562"/>
    <w:rsid w:val="2F724234"/>
    <w:rsid w:val="2F864494"/>
    <w:rsid w:val="303F5B52"/>
    <w:rsid w:val="30415886"/>
    <w:rsid w:val="31021EAA"/>
    <w:rsid w:val="3105531F"/>
    <w:rsid w:val="31565409"/>
    <w:rsid w:val="31607959"/>
    <w:rsid w:val="317A1ED5"/>
    <w:rsid w:val="32387149"/>
    <w:rsid w:val="323D4DDE"/>
    <w:rsid w:val="32466CAB"/>
    <w:rsid w:val="329806D7"/>
    <w:rsid w:val="32B670C6"/>
    <w:rsid w:val="32FF3174"/>
    <w:rsid w:val="33206B41"/>
    <w:rsid w:val="337B6F25"/>
    <w:rsid w:val="345F30E4"/>
    <w:rsid w:val="348833DA"/>
    <w:rsid w:val="34A528B9"/>
    <w:rsid w:val="35003060"/>
    <w:rsid w:val="35143992"/>
    <w:rsid w:val="351A3BB7"/>
    <w:rsid w:val="353111E8"/>
    <w:rsid w:val="3531463B"/>
    <w:rsid w:val="354F52BF"/>
    <w:rsid w:val="35564ADA"/>
    <w:rsid w:val="355C77D5"/>
    <w:rsid w:val="355D06F3"/>
    <w:rsid w:val="3586396A"/>
    <w:rsid w:val="36D36DF1"/>
    <w:rsid w:val="372B32A4"/>
    <w:rsid w:val="37465C1B"/>
    <w:rsid w:val="37505E44"/>
    <w:rsid w:val="37C3625C"/>
    <w:rsid w:val="37C562CE"/>
    <w:rsid w:val="37FC482F"/>
    <w:rsid w:val="38614E77"/>
    <w:rsid w:val="38734AC4"/>
    <w:rsid w:val="387D2129"/>
    <w:rsid w:val="38821C97"/>
    <w:rsid w:val="3888313E"/>
    <w:rsid w:val="38C53A27"/>
    <w:rsid w:val="39194744"/>
    <w:rsid w:val="391F701E"/>
    <w:rsid w:val="392340AF"/>
    <w:rsid w:val="392F2CE1"/>
    <w:rsid w:val="395767D6"/>
    <w:rsid w:val="396E6B72"/>
    <w:rsid w:val="397359A3"/>
    <w:rsid w:val="39D9187B"/>
    <w:rsid w:val="39E624F9"/>
    <w:rsid w:val="3A1866FF"/>
    <w:rsid w:val="3AA40077"/>
    <w:rsid w:val="3AC65DE8"/>
    <w:rsid w:val="3ACA37D1"/>
    <w:rsid w:val="3AD63E15"/>
    <w:rsid w:val="3B1874C8"/>
    <w:rsid w:val="3B2657A5"/>
    <w:rsid w:val="3B3219C7"/>
    <w:rsid w:val="3B522A3F"/>
    <w:rsid w:val="3B9E00AB"/>
    <w:rsid w:val="3BA76F73"/>
    <w:rsid w:val="3C74798C"/>
    <w:rsid w:val="3CA40B9B"/>
    <w:rsid w:val="3CE103A5"/>
    <w:rsid w:val="3D023DA9"/>
    <w:rsid w:val="3D304DF3"/>
    <w:rsid w:val="3D3C39E9"/>
    <w:rsid w:val="3D3D5195"/>
    <w:rsid w:val="3D5809BF"/>
    <w:rsid w:val="3D5840B4"/>
    <w:rsid w:val="3D8056C1"/>
    <w:rsid w:val="3D8250CD"/>
    <w:rsid w:val="3D886B18"/>
    <w:rsid w:val="3D8D6C73"/>
    <w:rsid w:val="3DAA06EA"/>
    <w:rsid w:val="3DB72B10"/>
    <w:rsid w:val="3DD5450A"/>
    <w:rsid w:val="3E0428DD"/>
    <w:rsid w:val="3E686071"/>
    <w:rsid w:val="3EAA6D61"/>
    <w:rsid w:val="3EF2562A"/>
    <w:rsid w:val="3F081063"/>
    <w:rsid w:val="3F146478"/>
    <w:rsid w:val="3F334F59"/>
    <w:rsid w:val="3F474B64"/>
    <w:rsid w:val="3F6F58B5"/>
    <w:rsid w:val="3FC848E6"/>
    <w:rsid w:val="40072094"/>
    <w:rsid w:val="403E0A9D"/>
    <w:rsid w:val="40661336"/>
    <w:rsid w:val="40B23BE6"/>
    <w:rsid w:val="410A19BD"/>
    <w:rsid w:val="41134F23"/>
    <w:rsid w:val="412916E7"/>
    <w:rsid w:val="414E3A45"/>
    <w:rsid w:val="41874A60"/>
    <w:rsid w:val="41DC5E77"/>
    <w:rsid w:val="41E56D65"/>
    <w:rsid w:val="41F84D68"/>
    <w:rsid w:val="41FD5E23"/>
    <w:rsid w:val="422C3859"/>
    <w:rsid w:val="423D7C1E"/>
    <w:rsid w:val="42470693"/>
    <w:rsid w:val="424C4FE3"/>
    <w:rsid w:val="4258271B"/>
    <w:rsid w:val="425F073A"/>
    <w:rsid w:val="426E3DF0"/>
    <w:rsid w:val="426F64C9"/>
    <w:rsid w:val="42AC3492"/>
    <w:rsid w:val="42DE7246"/>
    <w:rsid w:val="433927C2"/>
    <w:rsid w:val="43892132"/>
    <w:rsid w:val="43E70741"/>
    <w:rsid w:val="44001A5E"/>
    <w:rsid w:val="446641FC"/>
    <w:rsid w:val="44BC1927"/>
    <w:rsid w:val="452A6F84"/>
    <w:rsid w:val="45652C74"/>
    <w:rsid w:val="456C67DF"/>
    <w:rsid w:val="45BD746F"/>
    <w:rsid w:val="45F469CB"/>
    <w:rsid w:val="46120782"/>
    <w:rsid w:val="463860E8"/>
    <w:rsid w:val="464253F9"/>
    <w:rsid w:val="46461124"/>
    <w:rsid w:val="466B182E"/>
    <w:rsid w:val="469524E8"/>
    <w:rsid w:val="46B42AA5"/>
    <w:rsid w:val="46F076EF"/>
    <w:rsid w:val="46F5605C"/>
    <w:rsid w:val="4715323E"/>
    <w:rsid w:val="47700CDF"/>
    <w:rsid w:val="479467E8"/>
    <w:rsid w:val="479B4CF7"/>
    <w:rsid w:val="47C344EE"/>
    <w:rsid w:val="47F87462"/>
    <w:rsid w:val="47FD127E"/>
    <w:rsid w:val="48025917"/>
    <w:rsid w:val="480F2E5A"/>
    <w:rsid w:val="482663FF"/>
    <w:rsid w:val="48314608"/>
    <w:rsid w:val="484A6294"/>
    <w:rsid w:val="488F2CC7"/>
    <w:rsid w:val="48A01254"/>
    <w:rsid w:val="48A407E6"/>
    <w:rsid w:val="48CF371A"/>
    <w:rsid w:val="48E11D5B"/>
    <w:rsid w:val="48F50606"/>
    <w:rsid w:val="493756E2"/>
    <w:rsid w:val="494B1258"/>
    <w:rsid w:val="496550AC"/>
    <w:rsid w:val="49D46CB0"/>
    <w:rsid w:val="49F1338C"/>
    <w:rsid w:val="49F51014"/>
    <w:rsid w:val="49FA4CE4"/>
    <w:rsid w:val="49FC2FC3"/>
    <w:rsid w:val="4A2B243B"/>
    <w:rsid w:val="4A5B53B1"/>
    <w:rsid w:val="4AC736CE"/>
    <w:rsid w:val="4AF87B42"/>
    <w:rsid w:val="4B225D19"/>
    <w:rsid w:val="4B4A6C4E"/>
    <w:rsid w:val="4B544FB7"/>
    <w:rsid w:val="4B5654B0"/>
    <w:rsid w:val="4BE808F6"/>
    <w:rsid w:val="4C054C98"/>
    <w:rsid w:val="4C580C3F"/>
    <w:rsid w:val="4CD7691E"/>
    <w:rsid w:val="4D4B538E"/>
    <w:rsid w:val="4D94520C"/>
    <w:rsid w:val="4DE638B8"/>
    <w:rsid w:val="4E0807A7"/>
    <w:rsid w:val="4E2116E9"/>
    <w:rsid w:val="4E4D5AC0"/>
    <w:rsid w:val="4E697FB9"/>
    <w:rsid w:val="4EBC7F3B"/>
    <w:rsid w:val="4F152684"/>
    <w:rsid w:val="4F2A55A9"/>
    <w:rsid w:val="4F2E0E0B"/>
    <w:rsid w:val="4F3651FA"/>
    <w:rsid w:val="4FB66684"/>
    <w:rsid w:val="4FD330CC"/>
    <w:rsid w:val="50203970"/>
    <w:rsid w:val="50681F00"/>
    <w:rsid w:val="506D4B31"/>
    <w:rsid w:val="507327CC"/>
    <w:rsid w:val="50D67354"/>
    <w:rsid w:val="50E503C3"/>
    <w:rsid w:val="51040E06"/>
    <w:rsid w:val="510F504C"/>
    <w:rsid w:val="51644DBE"/>
    <w:rsid w:val="51823F64"/>
    <w:rsid w:val="519438A1"/>
    <w:rsid w:val="51BC4CC0"/>
    <w:rsid w:val="51BE28E0"/>
    <w:rsid w:val="52333C45"/>
    <w:rsid w:val="524F71B5"/>
    <w:rsid w:val="52605BCA"/>
    <w:rsid w:val="52636DDD"/>
    <w:rsid w:val="52937031"/>
    <w:rsid w:val="53B1403B"/>
    <w:rsid w:val="53DE6777"/>
    <w:rsid w:val="53ED44A2"/>
    <w:rsid w:val="53EE523E"/>
    <w:rsid w:val="54B554B1"/>
    <w:rsid w:val="54E03962"/>
    <w:rsid w:val="54EF2081"/>
    <w:rsid w:val="54F34D0E"/>
    <w:rsid w:val="55270580"/>
    <w:rsid w:val="55312534"/>
    <w:rsid w:val="55332C91"/>
    <w:rsid w:val="559358EB"/>
    <w:rsid w:val="55A7171D"/>
    <w:rsid w:val="55AB3472"/>
    <w:rsid w:val="55F2156F"/>
    <w:rsid w:val="55F25B15"/>
    <w:rsid w:val="560046E0"/>
    <w:rsid w:val="56914577"/>
    <w:rsid w:val="56935787"/>
    <w:rsid w:val="56D73520"/>
    <w:rsid w:val="56FA7CF3"/>
    <w:rsid w:val="57A10134"/>
    <w:rsid w:val="57A85800"/>
    <w:rsid w:val="57AB79F3"/>
    <w:rsid w:val="57B0626D"/>
    <w:rsid w:val="57DA63DB"/>
    <w:rsid w:val="580D02D9"/>
    <w:rsid w:val="5821257B"/>
    <w:rsid w:val="582855AC"/>
    <w:rsid w:val="584D54A8"/>
    <w:rsid w:val="586D3040"/>
    <w:rsid w:val="58CC1700"/>
    <w:rsid w:val="58D671ED"/>
    <w:rsid w:val="596B63CD"/>
    <w:rsid w:val="59B4752E"/>
    <w:rsid w:val="59D24511"/>
    <w:rsid w:val="5A6715C3"/>
    <w:rsid w:val="5A7E2423"/>
    <w:rsid w:val="5A807024"/>
    <w:rsid w:val="5A8E30BA"/>
    <w:rsid w:val="5AEC6F87"/>
    <w:rsid w:val="5B1416FF"/>
    <w:rsid w:val="5B3D7B01"/>
    <w:rsid w:val="5B9975C6"/>
    <w:rsid w:val="5BCD50F5"/>
    <w:rsid w:val="5C4C6F8A"/>
    <w:rsid w:val="5C4D5980"/>
    <w:rsid w:val="5C5D2B35"/>
    <w:rsid w:val="5C657C3C"/>
    <w:rsid w:val="5C730E0D"/>
    <w:rsid w:val="5C7737B4"/>
    <w:rsid w:val="5C7D754A"/>
    <w:rsid w:val="5D150984"/>
    <w:rsid w:val="5D1C04EB"/>
    <w:rsid w:val="5D201AFA"/>
    <w:rsid w:val="5DC44999"/>
    <w:rsid w:val="5E162269"/>
    <w:rsid w:val="5E3B6EAB"/>
    <w:rsid w:val="5E456928"/>
    <w:rsid w:val="5E650021"/>
    <w:rsid w:val="5EA031AD"/>
    <w:rsid w:val="5EA8566E"/>
    <w:rsid w:val="5F061262"/>
    <w:rsid w:val="5F2409AA"/>
    <w:rsid w:val="5F4B0614"/>
    <w:rsid w:val="5F5664BA"/>
    <w:rsid w:val="5F7672EE"/>
    <w:rsid w:val="60454DC6"/>
    <w:rsid w:val="60793D60"/>
    <w:rsid w:val="607A0FDF"/>
    <w:rsid w:val="609A77F3"/>
    <w:rsid w:val="60CD4EE0"/>
    <w:rsid w:val="61061A64"/>
    <w:rsid w:val="6111015C"/>
    <w:rsid w:val="61155538"/>
    <w:rsid w:val="616C090E"/>
    <w:rsid w:val="61AB611F"/>
    <w:rsid w:val="61CB421C"/>
    <w:rsid w:val="61E6022A"/>
    <w:rsid w:val="61ED403B"/>
    <w:rsid w:val="622E4B4F"/>
    <w:rsid w:val="62736B5C"/>
    <w:rsid w:val="62D61527"/>
    <w:rsid w:val="632D01EE"/>
    <w:rsid w:val="63406489"/>
    <w:rsid w:val="635C27BC"/>
    <w:rsid w:val="63612013"/>
    <w:rsid w:val="639C0FD0"/>
    <w:rsid w:val="64732979"/>
    <w:rsid w:val="64774C22"/>
    <w:rsid w:val="64930237"/>
    <w:rsid w:val="64DB0E6A"/>
    <w:rsid w:val="64E312EA"/>
    <w:rsid w:val="64FD1D2C"/>
    <w:rsid w:val="64FF0E37"/>
    <w:rsid w:val="6542378D"/>
    <w:rsid w:val="65564942"/>
    <w:rsid w:val="657955CE"/>
    <w:rsid w:val="65B11604"/>
    <w:rsid w:val="65CB044C"/>
    <w:rsid w:val="66093845"/>
    <w:rsid w:val="662078E9"/>
    <w:rsid w:val="665B44BF"/>
    <w:rsid w:val="66993CB4"/>
    <w:rsid w:val="66D43F13"/>
    <w:rsid w:val="66D54D8F"/>
    <w:rsid w:val="66DB6F61"/>
    <w:rsid w:val="67867F10"/>
    <w:rsid w:val="67904C08"/>
    <w:rsid w:val="67980EC5"/>
    <w:rsid w:val="67AB5116"/>
    <w:rsid w:val="67EB1084"/>
    <w:rsid w:val="68690C4B"/>
    <w:rsid w:val="68760BAE"/>
    <w:rsid w:val="68851407"/>
    <w:rsid w:val="68875844"/>
    <w:rsid w:val="68E34325"/>
    <w:rsid w:val="68E35FEE"/>
    <w:rsid w:val="68E97071"/>
    <w:rsid w:val="68F71C1C"/>
    <w:rsid w:val="690D36B5"/>
    <w:rsid w:val="69880E06"/>
    <w:rsid w:val="69BE41E9"/>
    <w:rsid w:val="69C90C5E"/>
    <w:rsid w:val="69EB17D5"/>
    <w:rsid w:val="6A7E0847"/>
    <w:rsid w:val="6A916FAB"/>
    <w:rsid w:val="6AF47BCB"/>
    <w:rsid w:val="6B1D05B6"/>
    <w:rsid w:val="6B5C0C74"/>
    <w:rsid w:val="6B6B0C05"/>
    <w:rsid w:val="6B7B29AF"/>
    <w:rsid w:val="6B947BF6"/>
    <w:rsid w:val="6BAF0A53"/>
    <w:rsid w:val="6C1D1CF9"/>
    <w:rsid w:val="6C284B26"/>
    <w:rsid w:val="6C420591"/>
    <w:rsid w:val="6C4938C9"/>
    <w:rsid w:val="6C893B72"/>
    <w:rsid w:val="6CA078E5"/>
    <w:rsid w:val="6CA11684"/>
    <w:rsid w:val="6CBB43F2"/>
    <w:rsid w:val="6CCF4627"/>
    <w:rsid w:val="6CFE24DC"/>
    <w:rsid w:val="6D22538C"/>
    <w:rsid w:val="6D56066E"/>
    <w:rsid w:val="6D781C7B"/>
    <w:rsid w:val="6D9B2892"/>
    <w:rsid w:val="6DAE06A1"/>
    <w:rsid w:val="6DD12A21"/>
    <w:rsid w:val="6E321185"/>
    <w:rsid w:val="6E500C00"/>
    <w:rsid w:val="6FE0105F"/>
    <w:rsid w:val="6FE729EA"/>
    <w:rsid w:val="6FF4486F"/>
    <w:rsid w:val="702D37D0"/>
    <w:rsid w:val="70527DA8"/>
    <w:rsid w:val="71145339"/>
    <w:rsid w:val="7119633D"/>
    <w:rsid w:val="712C5715"/>
    <w:rsid w:val="713570D8"/>
    <w:rsid w:val="715F2ECD"/>
    <w:rsid w:val="727437AD"/>
    <w:rsid w:val="72870EA5"/>
    <w:rsid w:val="728C67B5"/>
    <w:rsid w:val="72B959D5"/>
    <w:rsid w:val="72F53EEF"/>
    <w:rsid w:val="72FA299B"/>
    <w:rsid w:val="72FC5A4E"/>
    <w:rsid w:val="730A652D"/>
    <w:rsid w:val="73563827"/>
    <w:rsid w:val="735F29E1"/>
    <w:rsid w:val="736B17B5"/>
    <w:rsid w:val="74264B66"/>
    <w:rsid w:val="743957DE"/>
    <w:rsid w:val="743A395A"/>
    <w:rsid w:val="743B7742"/>
    <w:rsid w:val="74567B65"/>
    <w:rsid w:val="74795B53"/>
    <w:rsid w:val="74C005B7"/>
    <w:rsid w:val="74DE6A91"/>
    <w:rsid w:val="753B3B98"/>
    <w:rsid w:val="75CB791B"/>
    <w:rsid w:val="75D04F6C"/>
    <w:rsid w:val="75D716AE"/>
    <w:rsid w:val="75DB314A"/>
    <w:rsid w:val="766825A8"/>
    <w:rsid w:val="76945974"/>
    <w:rsid w:val="76AF107E"/>
    <w:rsid w:val="76BC57A9"/>
    <w:rsid w:val="76E856C9"/>
    <w:rsid w:val="76EA61F8"/>
    <w:rsid w:val="76F06230"/>
    <w:rsid w:val="770524AE"/>
    <w:rsid w:val="773311C7"/>
    <w:rsid w:val="77542ED2"/>
    <w:rsid w:val="775878D1"/>
    <w:rsid w:val="778237F5"/>
    <w:rsid w:val="77A512E4"/>
    <w:rsid w:val="77BD292C"/>
    <w:rsid w:val="77DC49B4"/>
    <w:rsid w:val="77F3346D"/>
    <w:rsid w:val="7826628B"/>
    <w:rsid w:val="78CD0CE6"/>
    <w:rsid w:val="79D405E1"/>
    <w:rsid w:val="79DE27F9"/>
    <w:rsid w:val="7A08390E"/>
    <w:rsid w:val="7A7B3281"/>
    <w:rsid w:val="7A7B7874"/>
    <w:rsid w:val="7AC62E9D"/>
    <w:rsid w:val="7AE87ACA"/>
    <w:rsid w:val="7AEC1440"/>
    <w:rsid w:val="7AEE5FE3"/>
    <w:rsid w:val="7B14584D"/>
    <w:rsid w:val="7B7975D4"/>
    <w:rsid w:val="7BF22BB4"/>
    <w:rsid w:val="7C21213C"/>
    <w:rsid w:val="7C2B005E"/>
    <w:rsid w:val="7CB144F2"/>
    <w:rsid w:val="7CBF0117"/>
    <w:rsid w:val="7D6E7503"/>
    <w:rsid w:val="7D6F2271"/>
    <w:rsid w:val="7D704111"/>
    <w:rsid w:val="7D9225A0"/>
    <w:rsid w:val="7DCA26A6"/>
    <w:rsid w:val="7DE86492"/>
    <w:rsid w:val="7DF516A8"/>
    <w:rsid w:val="7E2702BF"/>
    <w:rsid w:val="7E4416A8"/>
    <w:rsid w:val="7E5466DB"/>
    <w:rsid w:val="7E5734F8"/>
    <w:rsid w:val="7EAD25B9"/>
    <w:rsid w:val="7EC844CD"/>
    <w:rsid w:val="7ED64101"/>
    <w:rsid w:val="7EF3018C"/>
    <w:rsid w:val="7EF945F5"/>
    <w:rsid w:val="7F0F387B"/>
    <w:rsid w:val="7F2B79D2"/>
    <w:rsid w:val="7F620525"/>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样式"/>
    <w:basedOn w:val="1"/>
    <w:qFormat/>
    <w:uiPriority w:val="99"/>
    <w:pPr>
      <w:ind w:firstLine="200"/>
    </w:pPr>
    <w:rPr>
      <w:spacing w:val="16"/>
      <w:szCs w:val="24"/>
    </w:rPr>
  </w:style>
  <w:style w:type="paragraph" w:styleId="3">
    <w:name w:val="Document Map"/>
    <w:basedOn w:val="1"/>
    <w:semiHidden/>
    <w:qFormat/>
    <w:uiPriority w:val="0"/>
    <w:pPr>
      <w:shd w:val="clear" w:color="auto" w:fill="000080"/>
    </w:pPr>
  </w:style>
  <w:style w:type="paragraph" w:styleId="4">
    <w:name w:val="annotation text"/>
    <w:basedOn w:val="1"/>
    <w:link w:val="22"/>
    <w:semiHidden/>
    <w:qFormat/>
    <w:uiPriority w:val="0"/>
    <w:pPr>
      <w:jc w:val="left"/>
    </w:pPr>
    <w:rPr>
      <w:kern w:val="0"/>
    </w:rPr>
  </w:style>
  <w:style w:type="paragraph" w:styleId="5">
    <w:name w:val="Balloon Text"/>
    <w:basedOn w:val="1"/>
    <w:link w:val="23"/>
    <w:semiHidden/>
    <w:qFormat/>
    <w:uiPriority w:val="0"/>
    <w:rPr>
      <w:kern w:val="0"/>
      <w:sz w:val="18"/>
      <w:szCs w:val="18"/>
    </w:rPr>
  </w:style>
  <w:style w:type="paragraph" w:styleId="6">
    <w:name w:val="footer"/>
    <w:basedOn w:val="1"/>
    <w:link w:val="24"/>
    <w:semiHidden/>
    <w:uiPriority w:val="0"/>
    <w:pPr>
      <w:tabs>
        <w:tab w:val="center" w:pos="4153"/>
        <w:tab w:val="right" w:pos="8306"/>
      </w:tabs>
      <w:snapToGrid w:val="0"/>
      <w:jc w:val="left"/>
    </w:pPr>
    <w:rPr>
      <w:kern w:val="0"/>
      <w:sz w:val="18"/>
      <w:szCs w:val="18"/>
    </w:rPr>
  </w:style>
  <w:style w:type="paragraph" w:styleId="7">
    <w:name w:val="header"/>
    <w:basedOn w:val="1"/>
    <w:link w:val="25"/>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4"/>
    <w:next w:val="4"/>
    <w:link w:val="26"/>
    <w:semiHidden/>
    <w:qFormat/>
    <w:uiPriority w:val="0"/>
    <w:rPr>
      <w:b/>
      <w:bCs/>
    </w:rPr>
  </w:style>
  <w:style w:type="table" w:styleId="12">
    <w:name w:val="Table Grid"/>
    <w:basedOn w:val="11"/>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0"/>
    <w:rPr>
      <w:b/>
      <w:bCs/>
    </w:rPr>
  </w:style>
  <w:style w:type="character" w:styleId="15">
    <w:name w:val="FollowedHyperlink"/>
    <w:basedOn w:val="13"/>
    <w:qFormat/>
    <w:uiPriority w:val="0"/>
    <w:rPr>
      <w:color w:val="333333"/>
      <w:u w:val="none"/>
    </w:rPr>
  </w:style>
  <w:style w:type="character" w:styleId="16">
    <w:name w:val="Emphasis"/>
    <w:basedOn w:val="13"/>
    <w:qFormat/>
    <w:locked/>
    <w:uiPriority w:val="0"/>
    <w:rPr>
      <w:color w:val="FF0000"/>
    </w:rPr>
  </w:style>
  <w:style w:type="character" w:styleId="17">
    <w:name w:val="Hyperlink"/>
    <w:basedOn w:val="13"/>
    <w:qFormat/>
    <w:uiPriority w:val="0"/>
    <w:rPr>
      <w:color w:val="333333"/>
      <w:u w:val="none"/>
    </w:rPr>
  </w:style>
  <w:style w:type="character" w:styleId="18">
    <w:name w:val="HTML Code"/>
    <w:basedOn w:val="13"/>
    <w:qFormat/>
    <w:uiPriority w:val="0"/>
    <w:rPr>
      <w:rFonts w:hint="default" w:ascii="monospace" w:hAnsi="monospace" w:eastAsia="monospace" w:cs="monospace"/>
      <w:sz w:val="21"/>
      <w:szCs w:val="21"/>
    </w:rPr>
  </w:style>
  <w:style w:type="character" w:styleId="19">
    <w:name w:val="annotation reference"/>
    <w:semiHidden/>
    <w:qFormat/>
    <w:uiPriority w:val="0"/>
    <w:rPr>
      <w:rFonts w:cs="Times New Roman"/>
      <w:sz w:val="21"/>
      <w:szCs w:val="21"/>
    </w:rPr>
  </w:style>
  <w:style w:type="character" w:styleId="20">
    <w:name w:val="HTML Keyboard"/>
    <w:basedOn w:val="13"/>
    <w:qFormat/>
    <w:uiPriority w:val="0"/>
    <w:rPr>
      <w:rFonts w:ascii="monospace" w:hAnsi="monospace" w:eastAsia="monospace" w:cs="monospace"/>
      <w:sz w:val="21"/>
      <w:szCs w:val="21"/>
    </w:rPr>
  </w:style>
  <w:style w:type="character" w:styleId="21">
    <w:name w:val="HTML Sample"/>
    <w:basedOn w:val="13"/>
    <w:qFormat/>
    <w:uiPriority w:val="0"/>
    <w:rPr>
      <w:rFonts w:hint="default" w:ascii="monospace" w:hAnsi="monospace" w:eastAsia="monospace" w:cs="monospace"/>
      <w:sz w:val="21"/>
      <w:szCs w:val="21"/>
    </w:rPr>
  </w:style>
  <w:style w:type="character" w:customStyle="1" w:styleId="22">
    <w:name w:val="批注文字 Char"/>
    <w:link w:val="4"/>
    <w:semiHidden/>
    <w:qFormat/>
    <w:locked/>
    <w:uiPriority w:val="0"/>
    <w:rPr>
      <w:rFonts w:ascii="Times New Roman" w:hAnsi="Times New Roman" w:cs="Times New Roman"/>
      <w:sz w:val="21"/>
      <w:szCs w:val="21"/>
    </w:rPr>
  </w:style>
  <w:style w:type="character" w:customStyle="1" w:styleId="23">
    <w:name w:val="批注框文本 Char"/>
    <w:link w:val="5"/>
    <w:semiHidden/>
    <w:qFormat/>
    <w:locked/>
    <w:uiPriority w:val="0"/>
    <w:rPr>
      <w:rFonts w:ascii="Times New Roman" w:hAnsi="Times New Roman" w:eastAsia="宋体" w:cs="Times New Roman"/>
      <w:sz w:val="18"/>
      <w:szCs w:val="18"/>
    </w:rPr>
  </w:style>
  <w:style w:type="character" w:customStyle="1" w:styleId="24">
    <w:name w:val="页脚 Char"/>
    <w:link w:val="6"/>
    <w:semiHidden/>
    <w:qFormat/>
    <w:locked/>
    <w:uiPriority w:val="0"/>
    <w:rPr>
      <w:rFonts w:ascii="Times New Roman" w:hAnsi="Times New Roman" w:eastAsia="宋体" w:cs="Times New Roman"/>
      <w:sz w:val="18"/>
      <w:szCs w:val="18"/>
    </w:rPr>
  </w:style>
  <w:style w:type="character" w:customStyle="1" w:styleId="25">
    <w:name w:val="页眉 Char"/>
    <w:link w:val="7"/>
    <w:semiHidden/>
    <w:qFormat/>
    <w:locked/>
    <w:uiPriority w:val="0"/>
    <w:rPr>
      <w:rFonts w:ascii="Times New Roman" w:hAnsi="Times New Roman" w:eastAsia="宋体" w:cs="Times New Roman"/>
      <w:sz w:val="18"/>
      <w:szCs w:val="18"/>
    </w:rPr>
  </w:style>
  <w:style w:type="character" w:customStyle="1" w:styleId="26">
    <w:name w:val="批注主题 Char"/>
    <w:link w:val="10"/>
    <w:semiHidden/>
    <w:qFormat/>
    <w:locked/>
    <w:uiPriority w:val="0"/>
    <w:rPr>
      <w:rFonts w:ascii="Times New Roman" w:hAnsi="Times New Roman" w:cs="Times New Roman"/>
      <w:b/>
      <w:bCs/>
      <w:sz w:val="21"/>
      <w:szCs w:val="21"/>
    </w:rPr>
  </w:style>
  <w:style w:type="character" w:customStyle="1" w:styleId="27">
    <w:name w:val="hot-question-icon"/>
    <w:basedOn w:val="13"/>
    <w:qFormat/>
    <w:uiPriority w:val="0"/>
    <w:rPr>
      <w:color w:val="FF0000"/>
    </w:rPr>
  </w:style>
  <w:style w:type="character" w:customStyle="1" w:styleId="28">
    <w:name w:val="info-content"/>
    <w:basedOn w:val="13"/>
    <w:qFormat/>
    <w:uiPriority w:val="0"/>
    <w:rPr>
      <w:color w:val="808080"/>
    </w:rPr>
  </w:style>
  <w:style w:type="character" w:customStyle="1" w:styleId="29">
    <w:name w:val="no-reply-icon"/>
    <w:basedOn w:val="13"/>
    <w:qFormat/>
    <w:uiPriority w:val="0"/>
    <w:rPr>
      <w:color w:val="BBC0CC"/>
      <w:bdr w:val="single" w:color="F8F8F8" w:sz="6" w:space="0"/>
      <w:shd w:val="clear" w:color="auto" w:fill="F8F8F8"/>
    </w:rPr>
  </w:style>
  <w:style w:type="character" w:customStyle="1" w:styleId="30">
    <w:name w:val="info-label"/>
    <w:basedOn w:val="13"/>
    <w:qFormat/>
    <w:uiPriority w:val="0"/>
    <w:rPr>
      <w:b/>
    </w:rPr>
  </w:style>
  <w:style w:type="character" w:customStyle="1" w:styleId="31">
    <w:name w:val="hover"/>
    <w:basedOn w:val="13"/>
    <w:qFormat/>
    <w:uiPriority w:val="0"/>
    <w:rPr>
      <w:color w:val="0077E6"/>
    </w:rPr>
  </w:style>
  <w:style w:type="character" w:customStyle="1" w:styleId="32">
    <w:name w:val="nth-child(3)"/>
    <w:basedOn w:val="13"/>
    <w:qFormat/>
    <w:uiPriority w:val="0"/>
  </w:style>
  <w:style w:type="character" w:customStyle="1" w:styleId="33">
    <w:name w:val="not([class*=suffix])"/>
    <w:basedOn w:val="13"/>
    <w:qFormat/>
    <w:uiPriority w:val="0"/>
    <w:rPr>
      <w:sz w:val="19"/>
      <w:szCs w:val="19"/>
    </w:rPr>
  </w:style>
  <w:style w:type="character" w:customStyle="1" w:styleId="34">
    <w:name w:val="current"/>
    <w:basedOn w:val="13"/>
    <w:qFormat/>
    <w:uiPriority w:val="0"/>
    <w:rPr>
      <w:color w:val="00C1DE"/>
    </w:rPr>
  </w:style>
  <w:style w:type="character" w:customStyle="1" w:styleId="35">
    <w:name w:val="flag-title"/>
    <w:basedOn w:val="13"/>
    <w:qFormat/>
    <w:uiPriority w:val="0"/>
    <w:rPr>
      <w:color w:val="8790A4"/>
      <w:sz w:val="18"/>
      <w:szCs w:val="18"/>
      <w:bdr w:val="dashed" w:color="E5E5E5" w:sz="6" w:space="0"/>
    </w:rPr>
  </w:style>
  <w:style w:type="character" w:customStyle="1" w:styleId="36">
    <w:name w:val="right"/>
    <w:basedOn w:val="13"/>
    <w:qFormat/>
    <w:uiPriority w:val="0"/>
    <w:rPr>
      <w:shd w:val="clear" w:color="auto" w:fill="E5E5E5"/>
    </w:rPr>
  </w:style>
  <w:style w:type="character" w:customStyle="1" w:styleId="37">
    <w:name w:val="nth-child(1)"/>
    <w:basedOn w:val="13"/>
    <w:qFormat/>
    <w:uiPriority w:val="0"/>
  </w:style>
  <w:style w:type="character" w:customStyle="1" w:styleId="38">
    <w:name w:val="new-question-icon"/>
    <w:basedOn w:val="13"/>
    <w:qFormat/>
    <w:uiPriority w:val="0"/>
    <w:rPr>
      <w:color w:val="F99403"/>
      <w:bdr w:val="single" w:color="FFF8E2" w:sz="6" w:space="0"/>
      <w:shd w:val="clear" w:color="auto" w:fill="FFF8E2"/>
    </w:rPr>
  </w:style>
  <w:style w:type="character" w:customStyle="1" w:styleId="39">
    <w:name w:val="current1"/>
    <w:basedOn w:val="13"/>
    <w:qFormat/>
    <w:uiPriority w:val="0"/>
    <w:rPr>
      <w:color w:val="00C1DE"/>
    </w:rPr>
  </w:style>
  <w:style w:type="character" w:customStyle="1" w:styleId="40">
    <w:name w:val="not([class*=suffix])1"/>
    <w:basedOn w:val="13"/>
    <w:qFormat/>
    <w:uiPriority w:val="0"/>
  </w:style>
  <w:style w:type="character" w:customStyle="1" w:styleId="41">
    <w:name w:val="nth-child(2)"/>
    <w:basedOn w:val="13"/>
    <w:qFormat/>
    <w:uiPriority w:val="0"/>
  </w:style>
  <w:style w:type="character" w:customStyle="1" w:styleId="42">
    <w:name w:val="hover7"/>
    <w:basedOn w:val="13"/>
    <w:qFormat/>
    <w:uiPriority w:val="0"/>
    <w:rPr>
      <w:color w:val="0077E6"/>
    </w:rPr>
  </w:style>
  <w:style w:type="character" w:customStyle="1" w:styleId="43">
    <w:name w:val="flag-title2"/>
    <w:basedOn w:val="13"/>
    <w:qFormat/>
    <w:uiPriority w:val="0"/>
    <w:rPr>
      <w:color w:val="8790A4"/>
      <w:sz w:val="18"/>
      <w:szCs w:val="18"/>
      <w:bdr w:val="dashed" w:color="E5E5E5" w:sz="6" w:space="0"/>
    </w:rPr>
  </w:style>
  <w:style w:type="paragraph" w:customStyle="1" w:styleId="44">
    <w:name w:val="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cs="Verdana"/>
      <w:kern w:val="0"/>
      <w:sz w:val="22"/>
      <w:szCs w:val="22"/>
      <w:lang w:eastAsia="en-US"/>
    </w:rPr>
  </w:style>
  <w:style w:type="paragraph" w:styleId="45">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46">
    <w:name w:val=" 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szCs w:val="24"/>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3171</Words>
  <Characters>3518</Characters>
  <Lines>12</Lines>
  <Paragraphs>3</Paragraphs>
  <TotalTime>16</TotalTime>
  <ScaleCrop>false</ScaleCrop>
  <LinksUpToDate>false</LinksUpToDate>
  <CharactersWithSpaces>3681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whr</cp:lastModifiedBy>
  <cp:lastPrinted>2022-04-28T06:42:00Z</cp:lastPrinted>
  <dcterms:modified xsi:type="dcterms:W3CDTF">2025-04-25T10:05:41Z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CB345B740A184DD3AADB778E7E08C70C_13</vt:lpwstr>
  </property>
  <property fmtid="{D5CDD505-2E9C-101B-9397-08002B2CF9AE}" pid="4" name="KSOTemplateDocerSaveRecord">
    <vt:lpwstr>eyJoZGlkIjoiYWM3M2QxNmI0YWI4NGYwYWVlOGVjZmVhZjQyYTBlYmMiLCJ1c2VySWQiOiI2MzI3MDU3ODgifQ==</vt:lpwstr>
  </property>
</Properties>
</file>